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F3" w:rsidRDefault="001938F3" w:rsidP="008B7A1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59EFE5D" wp14:editId="2F9115B2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4343400" cy="6664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ockwise Logo_cmyk_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66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8F3" w:rsidRDefault="001938F3" w:rsidP="008B7A16"/>
    <w:p w:rsidR="001938F3" w:rsidRDefault="001938F3" w:rsidP="008B7A16"/>
    <w:p w:rsidR="009A334F" w:rsidRDefault="008B7A16" w:rsidP="008B7A16">
      <w:r>
        <w:t xml:space="preserve">Clockwise is a fast growing financial co-operative that is committed to providing a wide range of safe and ethical services </w:t>
      </w:r>
      <w:r w:rsidR="000B4D68">
        <w:t>including</w:t>
      </w:r>
      <w:r>
        <w:t xml:space="preserve"> </w:t>
      </w:r>
      <w:r w:rsidR="009B56D9">
        <w:t>flex</w:t>
      </w:r>
      <w:r>
        <w:t>ible savings</w:t>
      </w:r>
      <w:r w:rsidR="009B56D9">
        <w:t xml:space="preserve">, </w:t>
      </w:r>
      <w:r>
        <w:t xml:space="preserve">affordable loans </w:t>
      </w:r>
      <w:r w:rsidR="009B56D9">
        <w:t xml:space="preserve">and </w:t>
      </w:r>
      <w:r w:rsidR="000B4D68">
        <w:t xml:space="preserve">budgeting </w:t>
      </w:r>
      <w:r w:rsidR="009B56D9">
        <w:t xml:space="preserve">accounts to </w:t>
      </w:r>
      <w:r>
        <w:t>people who live and work in Leicester, Leicestershire and Rutland.  As a not for profit organisation</w:t>
      </w:r>
      <w:r w:rsidR="000B4D68">
        <w:t>,</w:t>
      </w:r>
      <w:r>
        <w:t xml:space="preserve"> money saved is reinvested in the local community and as an ethical lender all loan applications are assessed based on individual circumstances.  One of </w:t>
      </w:r>
      <w:r w:rsidR="000B4D68">
        <w:t>our</w:t>
      </w:r>
      <w:r>
        <w:t xml:space="preserve"> aims is to offer financial services to those who are otherwise excluded from mainstream banking </w:t>
      </w:r>
      <w:r w:rsidR="000B4D68">
        <w:t xml:space="preserve">and </w:t>
      </w:r>
      <w:r>
        <w:t>to encourage the develop</w:t>
      </w:r>
      <w:r w:rsidR="000B4D68">
        <w:t>ment of good financial practice.</w:t>
      </w:r>
    </w:p>
    <w:p w:rsidR="00B113BF" w:rsidRPr="00B113BF" w:rsidRDefault="00B113BF" w:rsidP="008B7A16">
      <w:pPr>
        <w:rPr>
          <w:sz w:val="4"/>
          <w:szCs w:val="4"/>
        </w:rPr>
      </w:pPr>
    </w:p>
    <w:p w:rsidR="004C68C6" w:rsidRPr="004C68C6" w:rsidRDefault="004C68C6" w:rsidP="004C68C6">
      <w:pPr>
        <w:rPr>
          <w:rFonts w:asciiTheme="majorHAnsi" w:hAnsiTheme="majorHAnsi"/>
          <w:b/>
          <w:sz w:val="28"/>
          <w:szCs w:val="28"/>
        </w:rPr>
      </w:pPr>
      <w:r w:rsidRPr="004C68C6">
        <w:rPr>
          <w:rFonts w:asciiTheme="majorHAnsi" w:hAnsiTheme="majorHAnsi"/>
          <w:b/>
          <w:sz w:val="28"/>
          <w:szCs w:val="28"/>
        </w:rPr>
        <w:t>Rent Direct</w:t>
      </w:r>
    </w:p>
    <w:p w:rsidR="008B7A16" w:rsidRDefault="004C68C6" w:rsidP="008B7A16">
      <w:r>
        <w:t>Rent Direct</w:t>
      </w:r>
      <w:r w:rsidR="00207658">
        <w:t xml:space="preserve"> </w:t>
      </w:r>
      <w:r w:rsidR="008B7A16">
        <w:t xml:space="preserve">aims to provide </w:t>
      </w:r>
      <w:r w:rsidR="000B4D68">
        <w:t xml:space="preserve">private </w:t>
      </w:r>
      <w:r w:rsidR="008B7A16">
        <w:t xml:space="preserve">landlords </w:t>
      </w:r>
      <w:r w:rsidR="000B4D68">
        <w:t xml:space="preserve">with </w:t>
      </w:r>
      <w:r w:rsidR="008B7A16">
        <w:t xml:space="preserve">the facility to receive their rent payments on time and in full. </w:t>
      </w:r>
      <w:r>
        <w:t xml:space="preserve"> It </w:t>
      </w:r>
      <w:r w:rsidR="008B7A16">
        <w:t xml:space="preserve">is particularly useful in cases where tenants are in receipt </w:t>
      </w:r>
      <w:r w:rsidR="009B56D9">
        <w:t>Universal Credit</w:t>
      </w:r>
      <w:r w:rsidR="00207658">
        <w:t xml:space="preserve"> which, when paid to the tenant, can be eaten up in overdrafts, standing orders or simply spent by mistake resulting in arrears. When joining the scheme, </w:t>
      </w:r>
      <w:r w:rsidR="0069733A">
        <w:t xml:space="preserve">a Universal Credit (or other benefit or waged income) </w:t>
      </w:r>
      <w:r w:rsidR="00207658">
        <w:t xml:space="preserve">is made directly </w:t>
      </w:r>
      <w:r w:rsidR="00207658" w:rsidRPr="004C68C6">
        <w:t>into the R</w:t>
      </w:r>
      <w:r w:rsidRPr="004C68C6">
        <w:t>ent Direct a</w:t>
      </w:r>
      <w:r w:rsidR="00207658" w:rsidRPr="004C68C6">
        <w:t xml:space="preserve">ccount </w:t>
      </w:r>
      <w:r w:rsidR="00207658">
        <w:t xml:space="preserve">and </w:t>
      </w:r>
      <w:r w:rsidR="00084BB0">
        <w:t>withdrawals are</w:t>
      </w:r>
      <w:r w:rsidR="00207658">
        <w:t xml:space="preserve"> not permitted by the tenant.</w:t>
      </w:r>
    </w:p>
    <w:p w:rsidR="00B113BF" w:rsidRPr="00B113BF" w:rsidRDefault="00B113BF" w:rsidP="008B7A16">
      <w:pPr>
        <w:rPr>
          <w:b/>
          <w:sz w:val="4"/>
          <w:szCs w:val="4"/>
        </w:rPr>
      </w:pPr>
    </w:p>
    <w:p w:rsidR="00207658" w:rsidRPr="00FB4D15" w:rsidRDefault="00207658" w:rsidP="008B7A16">
      <w:pPr>
        <w:rPr>
          <w:b/>
        </w:rPr>
      </w:pPr>
      <w:r w:rsidRPr="00FB4D15">
        <w:rPr>
          <w:b/>
        </w:rPr>
        <w:t xml:space="preserve">How </w:t>
      </w:r>
      <w:r w:rsidR="00084BB0" w:rsidRPr="00FB4D15">
        <w:rPr>
          <w:b/>
        </w:rPr>
        <w:t>does</w:t>
      </w:r>
      <w:r w:rsidRPr="00FB4D15">
        <w:rPr>
          <w:b/>
        </w:rPr>
        <w:t xml:space="preserve"> it Work?</w:t>
      </w:r>
    </w:p>
    <w:p w:rsidR="002E7D47" w:rsidRDefault="002E7D47" w:rsidP="002E7D47">
      <w:pPr>
        <w:pStyle w:val="ListParagraph"/>
        <w:numPr>
          <w:ilvl w:val="0"/>
          <w:numId w:val="7"/>
        </w:numPr>
      </w:pPr>
      <w:r w:rsidRPr="00FB4D15">
        <w:t>The Landlord signs up to the service with Clockwise Credit Union and agrees to some simple terms and conditions</w:t>
      </w:r>
    </w:p>
    <w:p w:rsidR="001938F3" w:rsidRPr="00FB4D15" w:rsidRDefault="001938F3" w:rsidP="001938F3">
      <w:pPr>
        <w:pStyle w:val="ListParagraph"/>
      </w:pPr>
    </w:p>
    <w:p w:rsidR="001938F3" w:rsidRDefault="002E7D47" w:rsidP="001938F3">
      <w:pPr>
        <w:pStyle w:val="ListParagraph"/>
        <w:numPr>
          <w:ilvl w:val="0"/>
          <w:numId w:val="7"/>
        </w:numPr>
      </w:pPr>
      <w:r w:rsidRPr="00FB4D15">
        <w:t xml:space="preserve">Tenant agrees to open a </w:t>
      </w:r>
      <w:r w:rsidRPr="00ED24B5">
        <w:t>Clockwise R</w:t>
      </w:r>
      <w:r w:rsidR="004C68C6" w:rsidRPr="00ED24B5">
        <w:t>ent</w:t>
      </w:r>
      <w:r w:rsidRPr="00ED24B5">
        <w:t xml:space="preserve"> D</w:t>
      </w:r>
      <w:r w:rsidR="004C68C6" w:rsidRPr="00ED24B5">
        <w:t>irect</w:t>
      </w:r>
      <w:r w:rsidRPr="00ED24B5">
        <w:t xml:space="preserve"> account and have all or part of their income paid into it.  </w:t>
      </w:r>
      <w:r w:rsidR="004C29C7" w:rsidRPr="00ED24B5">
        <w:t>This may be</w:t>
      </w:r>
      <w:r w:rsidR="0069733A">
        <w:t xml:space="preserve"> wages, their Universal Credit p</w:t>
      </w:r>
      <w:r w:rsidR="004C29C7" w:rsidRPr="00ED24B5">
        <w:t>ayment or any other benefit income</w:t>
      </w:r>
    </w:p>
    <w:p w:rsidR="001938F3" w:rsidRDefault="001938F3" w:rsidP="001938F3">
      <w:pPr>
        <w:pStyle w:val="ListParagraph"/>
      </w:pPr>
    </w:p>
    <w:p w:rsidR="004C29C7" w:rsidRDefault="004C68C6" w:rsidP="002E7D47">
      <w:pPr>
        <w:pStyle w:val="ListParagraph"/>
        <w:numPr>
          <w:ilvl w:val="0"/>
          <w:numId w:val="7"/>
        </w:numPr>
      </w:pPr>
      <w:r w:rsidRPr="00ED24B5">
        <w:t>The t</w:t>
      </w:r>
      <w:r w:rsidR="004C29C7" w:rsidRPr="00ED24B5">
        <w:t>enant instructs the benefit office or employer to deposit t</w:t>
      </w:r>
      <w:r w:rsidR="00FB4D15" w:rsidRPr="00ED24B5">
        <w:t>he money into their R</w:t>
      </w:r>
      <w:r w:rsidRPr="00ED24B5">
        <w:t>ent Direct</w:t>
      </w:r>
      <w:r w:rsidR="004C29C7" w:rsidRPr="00ED24B5">
        <w:t xml:space="preserve"> account where Clockwise safeguards the agreed rent amount and the makes the payment to</w:t>
      </w:r>
      <w:r w:rsidRPr="00ED24B5">
        <w:t xml:space="preserve"> the landlord on an agreed date</w:t>
      </w:r>
    </w:p>
    <w:p w:rsidR="001938F3" w:rsidRPr="00ED24B5" w:rsidRDefault="001938F3" w:rsidP="001938F3">
      <w:pPr>
        <w:pStyle w:val="ListParagraph"/>
      </w:pPr>
    </w:p>
    <w:p w:rsidR="00E43A63" w:rsidRDefault="00E43A63" w:rsidP="002E7D47">
      <w:pPr>
        <w:pStyle w:val="ListParagraph"/>
        <w:numPr>
          <w:ilvl w:val="0"/>
          <w:numId w:val="7"/>
        </w:numPr>
      </w:pPr>
      <w:r w:rsidRPr="00ED24B5">
        <w:t xml:space="preserve">The landlord pays for the rent payment </w:t>
      </w:r>
      <w:r w:rsidR="0069733A">
        <w:t>to be made which is deducted before each</w:t>
      </w:r>
      <w:r w:rsidRPr="00ED24B5">
        <w:t xml:space="preserve"> payment is sent.  This is a fee o</w:t>
      </w:r>
      <w:r w:rsidR="00DC2BBC">
        <w:t>f £5 per transaction per tenant</w:t>
      </w:r>
    </w:p>
    <w:p w:rsidR="001938F3" w:rsidRPr="00ED24B5" w:rsidRDefault="001938F3" w:rsidP="001938F3">
      <w:pPr>
        <w:pStyle w:val="ListParagraph"/>
      </w:pPr>
    </w:p>
    <w:p w:rsidR="001938F3" w:rsidRDefault="004C29C7" w:rsidP="001938F3">
      <w:pPr>
        <w:pStyle w:val="ListParagraph"/>
        <w:numPr>
          <w:ilvl w:val="0"/>
          <w:numId w:val="7"/>
        </w:numPr>
      </w:pPr>
      <w:r w:rsidRPr="00ED24B5">
        <w:t>Any remaining money from wages or universal credit not used for rent payment is transferred back to the tenant to an account of their choice</w:t>
      </w:r>
      <w:r w:rsidR="00DC2BBC">
        <w:t xml:space="preserve"> on the same day that </w:t>
      </w:r>
      <w:r w:rsidR="000B4D68">
        <w:t xml:space="preserve">it is </w:t>
      </w:r>
      <w:r w:rsidR="00DC2BBC">
        <w:t>received by Clockwise</w:t>
      </w:r>
    </w:p>
    <w:p w:rsidR="001938F3" w:rsidRPr="00ED24B5" w:rsidRDefault="001938F3" w:rsidP="001938F3">
      <w:pPr>
        <w:pStyle w:val="ListParagraph"/>
      </w:pPr>
    </w:p>
    <w:p w:rsidR="00207658" w:rsidRDefault="00207658" w:rsidP="002E7D47">
      <w:pPr>
        <w:pStyle w:val="ListParagraph"/>
        <w:numPr>
          <w:ilvl w:val="0"/>
          <w:numId w:val="7"/>
        </w:numPr>
      </w:pPr>
      <w:r w:rsidRPr="00ED24B5">
        <w:t xml:space="preserve">The </w:t>
      </w:r>
      <w:r w:rsidR="004C29C7" w:rsidRPr="00ED24B5">
        <w:t>landlord will receive one month’s notice if the payment is cancelled by the tenant</w:t>
      </w:r>
      <w:r w:rsidR="009B56D9" w:rsidRPr="00ED24B5">
        <w:t xml:space="preserve"> </w:t>
      </w:r>
    </w:p>
    <w:p w:rsidR="001938F3" w:rsidRPr="00ED24B5" w:rsidRDefault="001938F3" w:rsidP="001938F3">
      <w:pPr>
        <w:pStyle w:val="ListParagraph"/>
      </w:pPr>
    </w:p>
    <w:p w:rsidR="004C29C7" w:rsidRDefault="004C29C7" w:rsidP="002E7D47">
      <w:pPr>
        <w:pStyle w:val="ListParagraph"/>
        <w:numPr>
          <w:ilvl w:val="0"/>
          <w:numId w:val="7"/>
        </w:numPr>
      </w:pPr>
      <w:r w:rsidRPr="00ED24B5">
        <w:t>The landlord will be notified if there is insufficient funds available to pay the rent on the day it is due.</w:t>
      </w:r>
    </w:p>
    <w:p w:rsidR="00B113BF" w:rsidRDefault="00B113BF" w:rsidP="00B113BF"/>
    <w:p w:rsidR="001938F3" w:rsidRDefault="00B113BF" w:rsidP="00B113BF">
      <w:pPr>
        <w:jc w:val="right"/>
        <w:rPr>
          <w:b/>
        </w:rPr>
      </w:pPr>
      <w:r>
        <w:lastRenderedPageBreak/>
        <w:t>(cont.)</w:t>
      </w:r>
      <w:r w:rsidR="001938F3">
        <w:rPr>
          <w:b/>
        </w:rPr>
        <w:br w:type="page"/>
      </w:r>
    </w:p>
    <w:p w:rsidR="00207658" w:rsidRDefault="00110D76" w:rsidP="008B7A16">
      <w:pPr>
        <w:rPr>
          <w:b/>
        </w:rPr>
      </w:pPr>
      <w:r>
        <w:rPr>
          <w:b/>
        </w:rPr>
        <w:lastRenderedPageBreak/>
        <w:t>Benefits to the Landlord</w:t>
      </w:r>
    </w:p>
    <w:p w:rsidR="00110D76" w:rsidRDefault="00110D76" w:rsidP="00110D76">
      <w:pPr>
        <w:pStyle w:val="ListParagraph"/>
        <w:numPr>
          <w:ilvl w:val="0"/>
          <w:numId w:val="3"/>
        </w:numPr>
      </w:pPr>
      <w:r>
        <w:t>Assurance that rent will be received regularly in full and on time</w:t>
      </w:r>
    </w:p>
    <w:p w:rsidR="00110D76" w:rsidRDefault="005028E0" w:rsidP="00110D76">
      <w:pPr>
        <w:pStyle w:val="ListParagraph"/>
        <w:numPr>
          <w:ilvl w:val="0"/>
          <w:numId w:val="3"/>
        </w:numPr>
      </w:pPr>
      <w:r>
        <w:t>One month’s</w:t>
      </w:r>
      <w:r w:rsidR="00110D76">
        <w:t xml:space="preserve"> notice is given for payment cancellation</w:t>
      </w:r>
    </w:p>
    <w:p w:rsidR="00110D76" w:rsidRDefault="00110D76" w:rsidP="00110D76">
      <w:pPr>
        <w:pStyle w:val="ListParagraph"/>
        <w:numPr>
          <w:ilvl w:val="0"/>
          <w:numId w:val="3"/>
        </w:numPr>
      </w:pPr>
      <w:r>
        <w:t>Not dependent on tenant’s money management</w:t>
      </w:r>
    </w:p>
    <w:p w:rsidR="00110D76" w:rsidRDefault="00110D76" w:rsidP="00110D76">
      <w:pPr>
        <w:pStyle w:val="ListParagraph"/>
        <w:numPr>
          <w:ilvl w:val="0"/>
          <w:numId w:val="3"/>
        </w:numPr>
      </w:pPr>
      <w:r>
        <w:t>Payment transferred directly into account</w:t>
      </w:r>
    </w:p>
    <w:p w:rsidR="00110D76" w:rsidRDefault="00110D76" w:rsidP="00110D76">
      <w:pPr>
        <w:pStyle w:val="ListParagraph"/>
        <w:numPr>
          <w:ilvl w:val="0"/>
          <w:numId w:val="3"/>
        </w:numPr>
      </w:pPr>
      <w:r>
        <w:t>Avoid eviction and court costs</w:t>
      </w:r>
    </w:p>
    <w:p w:rsidR="001938F3" w:rsidRDefault="001938F3" w:rsidP="00110D76">
      <w:pPr>
        <w:rPr>
          <w:b/>
        </w:rPr>
      </w:pPr>
    </w:p>
    <w:p w:rsidR="00110D76" w:rsidRDefault="00110D76" w:rsidP="00110D76">
      <w:pPr>
        <w:rPr>
          <w:b/>
        </w:rPr>
      </w:pPr>
      <w:r>
        <w:rPr>
          <w:b/>
        </w:rPr>
        <w:t>Benefits to the Tenant</w:t>
      </w:r>
    </w:p>
    <w:p w:rsidR="00110D76" w:rsidRPr="00110D76" w:rsidRDefault="00110D76" w:rsidP="00110D76">
      <w:pPr>
        <w:pStyle w:val="ListParagraph"/>
        <w:numPr>
          <w:ilvl w:val="0"/>
          <w:numId w:val="4"/>
        </w:numPr>
        <w:rPr>
          <w:b/>
        </w:rPr>
      </w:pPr>
      <w:r>
        <w:t>Reduce stress  around money management</w:t>
      </w:r>
    </w:p>
    <w:p w:rsidR="00110D76" w:rsidRPr="00110D76" w:rsidRDefault="00110D76" w:rsidP="00110D76">
      <w:pPr>
        <w:pStyle w:val="ListParagraph"/>
        <w:numPr>
          <w:ilvl w:val="0"/>
          <w:numId w:val="4"/>
        </w:numPr>
        <w:rPr>
          <w:b/>
        </w:rPr>
      </w:pPr>
      <w:r>
        <w:t>Decrease rent arrears and the possibility of going into arrears</w:t>
      </w:r>
    </w:p>
    <w:p w:rsidR="00110D76" w:rsidRPr="00084BB0" w:rsidRDefault="00084BB0" w:rsidP="00110D76">
      <w:pPr>
        <w:pStyle w:val="ListParagraph"/>
        <w:numPr>
          <w:ilvl w:val="0"/>
          <w:numId w:val="4"/>
        </w:numPr>
        <w:rPr>
          <w:b/>
        </w:rPr>
      </w:pPr>
      <w:r>
        <w:t>Reduce the risk of homelessness</w:t>
      </w:r>
    </w:p>
    <w:p w:rsidR="00084BB0" w:rsidRPr="00084BB0" w:rsidRDefault="00084BB0" w:rsidP="00110D76">
      <w:pPr>
        <w:pStyle w:val="ListParagraph"/>
        <w:numPr>
          <w:ilvl w:val="0"/>
          <w:numId w:val="4"/>
        </w:numPr>
        <w:rPr>
          <w:b/>
        </w:rPr>
      </w:pPr>
      <w:r>
        <w:t>Ease procedure in finding accommodation</w:t>
      </w:r>
    </w:p>
    <w:p w:rsidR="00084BB0" w:rsidRPr="00084BB0" w:rsidRDefault="00084BB0" w:rsidP="00084BB0">
      <w:pPr>
        <w:pStyle w:val="ListParagraph"/>
        <w:numPr>
          <w:ilvl w:val="0"/>
          <w:numId w:val="4"/>
        </w:numPr>
        <w:rPr>
          <w:b/>
        </w:rPr>
      </w:pPr>
      <w:r>
        <w:t>Promote financial stability</w:t>
      </w:r>
      <w:r w:rsidR="00DC2BBC">
        <w:t>, easy access to other Credit Union products</w:t>
      </w:r>
    </w:p>
    <w:p w:rsidR="005028E0" w:rsidRDefault="005028E0" w:rsidP="00084BB0">
      <w:pPr>
        <w:rPr>
          <w:b/>
        </w:rPr>
      </w:pPr>
    </w:p>
    <w:p w:rsidR="00084BB0" w:rsidRDefault="00084BB0" w:rsidP="00084BB0">
      <w:pPr>
        <w:rPr>
          <w:b/>
        </w:rPr>
      </w:pPr>
      <w:r>
        <w:rPr>
          <w:b/>
        </w:rPr>
        <w:t>Contributing to local Community</w:t>
      </w:r>
    </w:p>
    <w:p w:rsidR="00084BB0" w:rsidRPr="00084BB0" w:rsidRDefault="00084BB0" w:rsidP="00084BB0">
      <w:pPr>
        <w:pStyle w:val="ListParagraph"/>
        <w:numPr>
          <w:ilvl w:val="0"/>
          <w:numId w:val="5"/>
        </w:numPr>
        <w:rPr>
          <w:b/>
        </w:rPr>
      </w:pPr>
      <w:r>
        <w:t>Reduce homelessness</w:t>
      </w:r>
    </w:p>
    <w:p w:rsidR="00084BB0" w:rsidRPr="00084BB0" w:rsidRDefault="00084BB0" w:rsidP="00084BB0">
      <w:pPr>
        <w:pStyle w:val="ListParagraph"/>
        <w:numPr>
          <w:ilvl w:val="0"/>
          <w:numId w:val="5"/>
        </w:numPr>
        <w:rPr>
          <w:b/>
        </w:rPr>
      </w:pPr>
      <w:r>
        <w:t>Promote financial stability in the community</w:t>
      </w:r>
    </w:p>
    <w:p w:rsidR="00084BB0" w:rsidRPr="00084BB0" w:rsidRDefault="00084BB0" w:rsidP="00084BB0">
      <w:pPr>
        <w:pStyle w:val="ListParagraph"/>
        <w:numPr>
          <w:ilvl w:val="0"/>
          <w:numId w:val="5"/>
        </w:numPr>
        <w:rPr>
          <w:b/>
        </w:rPr>
      </w:pPr>
      <w:r>
        <w:t>Promote financial inclusion</w:t>
      </w:r>
    </w:p>
    <w:p w:rsidR="00084BB0" w:rsidRPr="00084BB0" w:rsidRDefault="00084BB0" w:rsidP="00084BB0">
      <w:pPr>
        <w:pStyle w:val="ListParagraph"/>
        <w:numPr>
          <w:ilvl w:val="0"/>
          <w:numId w:val="5"/>
        </w:numPr>
        <w:rPr>
          <w:b/>
        </w:rPr>
      </w:pPr>
      <w:r>
        <w:t>Support a co-operative organisation</w:t>
      </w:r>
    </w:p>
    <w:p w:rsidR="00084BB0" w:rsidRPr="00084BB0" w:rsidRDefault="00084BB0" w:rsidP="00084BB0">
      <w:pPr>
        <w:pStyle w:val="ListParagraph"/>
        <w:numPr>
          <w:ilvl w:val="0"/>
          <w:numId w:val="5"/>
        </w:numPr>
        <w:rPr>
          <w:b/>
        </w:rPr>
      </w:pPr>
      <w:r>
        <w:t>Support housing supply and demand across the county</w:t>
      </w:r>
    </w:p>
    <w:p w:rsidR="000B4D68" w:rsidRDefault="000B4D68" w:rsidP="00084BB0">
      <w:pPr>
        <w:rPr>
          <w:b/>
        </w:rPr>
      </w:pPr>
    </w:p>
    <w:p w:rsidR="00084BB0" w:rsidRDefault="00084BB0" w:rsidP="00084BB0">
      <w:pPr>
        <w:rPr>
          <w:b/>
        </w:rPr>
      </w:pPr>
      <w:r>
        <w:rPr>
          <w:b/>
        </w:rPr>
        <w:t>How to Apply</w:t>
      </w:r>
    </w:p>
    <w:p w:rsidR="00084BB0" w:rsidRDefault="00854378" w:rsidP="00084BB0">
      <w:r>
        <w:t>E</w:t>
      </w:r>
      <w:r w:rsidR="00084BB0">
        <w:t xml:space="preserve">mail </w:t>
      </w:r>
      <w:hyperlink r:id="rId6" w:history="1">
        <w:r w:rsidR="00084BB0" w:rsidRPr="00E15C75">
          <w:rPr>
            <w:rStyle w:val="Hyperlink"/>
          </w:rPr>
          <w:t>enquiries@clockwise.coop</w:t>
        </w:r>
      </w:hyperlink>
      <w:r w:rsidR="00084BB0">
        <w:t xml:space="preserve"> </w:t>
      </w:r>
      <w:r>
        <w:t xml:space="preserve">or telephone us on 0116 242 3900 </w:t>
      </w:r>
      <w:r w:rsidR="00084BB0">
        <w:t>for more information</w:t>
      </w:r>
      <w:r>
        <w:t xml:space="preserve"> about Rent Direct.</w:t>
      </w:r>
    </w:p>
    <w:p w:rsidR="00084BB0" w:rsidRDefault="00084BB0" w:rsidP="00084BB0"/>
    <w:p w:rsidR="00207658" w:rsidRDefault="00207658" w:rsidP="00084BB0"/>
    <w:p w:rsidR="001938F3" w:rsidRDefault="001938F3" w:rsidP="00084BB0"/>
    <w:p w:rsidR="001938F3" w:rsidRDefault="001938F3" w:rsidP="00084BB0"/>
    <w:p w:rsidR="001938F3" w:rsidRDefault="001938F3" w:rsidP="00084BB0"/>
    <w:p w:rsidR="001938F3" w:rsidRDefault="001938F3" w:rsidP="001938F3">
      <w:pPr>
        <w:jc w:val="center"/>
      </w:pPr>
      <w:r>
        <w:rPr>
          <w:noProof/>
          <w:lang w:val="en-US"/>
        </w:rPr>
        <w:drawing>
          <wp:inline distT="0" distB="0" distL="0" distR="0" wp14:anchorId="4820EB53" wp14:editId="78EBE5CE">
            <wp:extent cx="2381250" cy="428625"/>
            <wp:effectExtent l="0" t="0" r="0" b="9525"/>
            <wp:docPr id="1" name="Picture 1" descr="cid:BB2C9ADE-5D7D-42A4-B444-339226BDBF7E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BB2C9ADE-5D7D-42A4-B444-339226BDBF7E@Hom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74" w:rsidRPr="00635674" w:rsidRDefault="00635674" w:rsidP="00635674">
      <w:pPr>
        <w:ind w:left="360"/>
        <w:rPr>
          <w:sz w:val="16"/>
          <w:szCs w:val="16"/>
        </w:rPr>
      </w:pPr>
      <w:r w:rsidRPr="00635674">
        <w:rPr>
          <w:sz w:val="16"/>
          <w:szCs w:val="16"/>
          <w:lang w:val="en-US"/>
        </w:rPr>
        <w:t xml:space="preserve">Clockwise </w:t>
      </w:r>
      <w:r w:rsidRPr="00635674">
        <w:rPr>
          <w:sz w:val="16"/>
          <w:szCs w:val="16"/>
        </w:rPr>
        <w:t>Credit Union Ltd is authorised by the Prudential Regulation Authority and regulated by the Financial Conduct Authority and the Prudential Regulation Authority</w:t>
      </w:r>
      <w:bookmarkStart w:id="0" w:name="_GoBack"/>
      <w:bookmarkEnd w:id="0"/>
    </w:p>
    <w:sectPr w:rsidR="00635674" w:rsidRPr="00635674" w:rsidSect="001938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6F5"/>
    <w:multiLevelType w:val="hybridMultilevel"/>
    <w:tmpl w:val="3E82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4F3"/>
    <w:multiLevelType w:val="hybridMultilevel"/>
    <w:tmpl w:val="B0FE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6461"/>
    <w:multiLevelType w:val="hybridMultilevel"/>
    <w:tmpl w:val="71F0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04D0E"/>
    <w:multiLevelType w:val="hybridMultilevel"/>
    <w:tmpl w:val="8E98E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F566B"/>
    <w:multiLevelType w:val="hybridMultilevel"/>
    <w:tmpl w:val="33A4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71140"/>
    <w:multiLevelType w:val="hybridMultilevel"/>
    <w:tmpl w:val="EC7A9C16"/>
    <w:lvl w:ilvl="0" w:tplc="974A8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64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6C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26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84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4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ED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63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A7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7D4303"/>
    <w:multiLevelType w:val="hybridMultilevel"/>
    <w:tmpl w:val="270E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A3217"/>
    <w:multiLevelType w:val="hybridMultilevel"/>
    <w:tmpl w:val="C4DC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16"/>
    <w:rsid w:val="00084BB0"/>
    <w:rsid w:val="000B4D68"/>
    <w:rsid w:val="00110D76"/>
    <w:rsid w:val="001631F3"/>
    <w:rsid w:val="001938F3"/>
    <w:rsid w:val="00207658"/>
    <w:rsid w:val="002E7D47"/>
    <w:rsid w:val="00440033"/>
    <w:rsid w:val="004C29C7"/>
    <w:rsid w:val="004C68C6"/>
    <w:rsid w:val="005028E0"/>
    <w:rsid w:val="00635674"/>
    <w:rsid w:val="0069733A"/>
    <w:rsid w:val="00854378"/>
    <w:rsid w:val="008679B6"/>
    <w:rsid w:val="008B7A16"/>
    <w:rsid w:val="009A334F"/>
    <w:rsid w:val="009B56D9"/>
    <w:rsid w:val="00B113BF"/>
    <w:rsid w:val="00C5004C"/>
    <w:rsid w:val="00DC2BBC"/>
    <w:rsid w:val="00E43A63"/>
    <w:rsid w:val="00ED24B5"/>
    <w:rsid w:val="00F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65173-C90F-4912-81FD-ED1D9E9B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1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clockwise.coo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4209ACC1</Template>
  <TotalTime>145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Clockwise Credit Union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Clare Shilton</cp:lastModifiedBy>
  <cp:revision>26</cp:revision>
  <dcterms:created xsi:type="dcterms:W3CDTF">2015-11-12T15:29:00Z</dcterms:created>
  <dcterms:modified xsi:type="dcterms:W3CDTF">2015-11-16T14:08:00Z</dcterms:modified>
</cp:coreProperties>
</file>