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A7" w:rsidRPr="00D9581A" w:rsidRDefault="00293CA7" w:rsidP="00293CA7">
      <w:pPr>
        <w:rPr>
          <w:rFonts w:cs="Arial"/>
          <w:sz w:val="24"/>
          <w:szCs w:val="24"/>
        </w:rPr>
      </w:pPr>
    </w:p>
    <w:tbl>
      <w:tblPr>
        <w:tblpPr w:leftFromText="180" w:rightFromText="180" w:horzAnchor="margin" w:tblpY="1440"/>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928"/>
      </w:tblGrid>
      <w:tr w:rsidR="00293CA7" w:rsidRPr="009A688B" w:rsidTr="009B53E7">
        <w:tc>
          <w:tcPr>
            <w:tcW w:w="8928" w:type="dxa"/>
            <w:shd w:val="clear" w:color="auto" w:fill="CCFFCC"/>
          </w:tcPr>
          <w:p w:rsidR="00293CA7" w:rsidRPr="009A688B" w:rsidRDefault="00293CA7" w:rsidP="009B53E7">
            <w:pPr>
              <w:rPr>
                <w:rFonts w:cs="Arial"/>
                <w:b/>
                <w:szCs w:val="22"/>
              </w:rPr>
            </w:pPr>
            <w:r w:rsidRPr="009A688B">
              <w:rPr>
                <w:rFonts w:cs="Arial"/>
                <w:b/>
                <w:szCs w:val="22"/>
              </w:rPr>
              <w:t>HOUSING POLICY</w:t>
            </w:r>
          </w:p>
        </w:tc>
      </w:tr>
      <w:tr w:rsidR="00293CA7" w:rsidRPr="009A688B" w:rsidTr="009B53E7">
        <w:tc>
          <w:tcPr>
            <w:tcW w:w="8928" w:type="dxa"/>
          </w:tcPr>
          <w:p w:rsidR="00293CA7" w:rsidRPr="009A688B" w:rsidRDefault="00293CA7" w:rsidP="009B53E7">
            <w:pPr>
              <w:rPr>
                <w:rFonts w:cs="Arial"/>
                <w:szCs w:val="22"/>
              </w:rPr>
            </w:pPr>
          </w:p>
          <w:p w:rsidR="00293CA7" w:rsidRPr="009A688B" w:rsidRDefault="00293CA7" w:rsidP="009B53E7">
            <w:pPr>
              <w:rPr>
                <w:rFonts w:cs="Arial"/>
                <w:szCs w:val="22"/>
              </w:rPr>
            </w:pPr>
            <w:r w:rsidRPr="009A688B">
              <w:rPr>
                <w:rFonts w:cs="Arial"/>
                <w:b/>
                <w:szCs w:val="22"/>
              </w:rPr>
              <w:t>Area</w:t>
            </w:r>
            <w:r w:rsidRPr="009A688B">
              <w:rPr>
                <w:rFonts w:cs="Arial"/>
                <w:szCs w:val="22"/>
              </w:rPr>
              <w:t xml:space="preserve">                  : Housing </w:t>
            </w:r>
          </w:p>
          <w:p w:rsidR="00293CA7" w:rsidRPr="009A688B" w:rsidRDefault="00293CA7" w:rsidP="009B53E7">
            <w:pPr>
              <w:rPr>
                <w:rFonts w:cs="Arial"/>
                <w:szCs w:val="22"/>
              </w:rPr>
            </w:pPr>
          </w:p>
          <w:p w:rsidR="00293CA7" w:rsidRPr="009A688B" w:rsidRDefault="00293CA7" w:rsidP="009B53E7">
            <w:pPr>
              <w:rPr>
                <w:rFonts w:cs="Arial"/>
                <w:szCs w:val="22"/>
              </w:rPr>
            </w:pPr>
            <w:r w:rsidRPr="009A688B">
              <w:rPr>
                <w:rFonts w:cs="Arial"/>
                <w:b/>
                <w:szCs w:val="22"/>
              </w:rPr>
              <w:t xml:space="preserve">Department </w:t>
            </w:r>
            <w:r w:rsidRPr="009A688B">
              <w:rPr>
                <w:rFonts w:cs="Arial"/>
                <w:szCs w:val="22"/>
              </w:rPr>
              <w:t xml:space="preserve">     : Housing Management</w:t>
            </w:r>
          </w:p>
          <w:p w:rsidR="00293CA7" w:rsidRPr="009A688B" w:rsidRDefault="00293CA7" w:rsidP="009B53E7">
            <w:pPr>
              <w:rPr>
                <w:rFonts w:cs="Arial"/>
                <w:szCs w:val="22"/>
              </w:rPr>
            </w:pPr>
          </w:p>
          <w:p w:rsidR="00293CA7" w:rsidRPr="009A688B" w:rsidRDefault="00293CA7" w:rsidP="009B53E7">
            <w:pPr>
              <w:rPr>
                <w:rFonts w:cs="Arial"/>
                <w:szCs w:val="22"/>
              </w:rPr>
            </w:pPr>
            <w:r w:rsidRPr="009A688B">
              <w:rPr>
                <w:rFonts w:cs="Arial"/>
                <w:b/>
                <w:szCs w:val="22"/>
              </w:rPr>
              <w:t xml:space="preserve">Subject </w:t>
            </w:r>
            <w:r w:rsidRPr="009A688B">
              <w:rPr>
                <w:rFonts w:cs="Arial"/>
                <w:szCs w:val="22"/>
              </w:rPr>
              <w:t xml:space="preserve">            : Rent Collection Policy </w:t>
            </w:r>
          </w:p>
          <w:p w:rsidR="00293CA7" w:rsidRPr="009A688B" w:rsidRDefault="00293CA7" w:rsidP="009B53E7">
            <w:pPr>
              <w:rPr>
                <w:rFonts w:cs="Arial"/>
                <w:szCs w:val="22"/>
              </w:rPr>
            </w:pPr>
          </w:p>
        </w:tc>
      </w:tr>
    </w:tbl>
    <w:p w:rsidR="00293CA7" w:rsidRDefault="00293CA7" w:rsidP="00293CA7">
      <w:pPr>
        <w:rPr>
          <w:rFonts w:cs="Arial"/>
          <w:b/>
          <w:szCs w:val="22"/>
        </w:rPr>
      </w:pPr>
    </w:p>
    <w:p w:rsidR="00293CA7" w:rsidRDefault="00293CA7" w:rsidP="00293CA7">
      <w:pPr>
        <w:rPr>
          <w:rFonts w:cs="Arial"/>
          <w:b/>
          <w:szCs w:val="22"/>
        </w:rPr>
      </w:pPr>
    </w:p>
    <w:p w:rsidR="00293CA7" w:rsidRDefault="00293CA7" w:rsidP="00293CA7">
      <w:pPr>
        <w:rPr>
          <w:rFonts w:cs="Arial"/>
          <w:b/>
          <w:szCs w:val="22"/>
        </w:rPr>
      </w:pPr>
    </w:p>
    <w:p w:rsidR="00293CA7" w:rsidRDefault="00293CA7" w:rsidP="00293CA7">
      <w:pPr>
        <w:rPr>
          <w:rFonts w:cs="Arial"/>
          <w:b/>
          <w:szCs w:val="22"/>
        </w:rPr>
      </w:pPr>
    </w:p>
    <w:p w:rsidR="00293CA7" w:rsidRDefault="00293CA7" w:rsidP="00293CA7">
      <w:pPr>
        <w:rPr>
          <w:rFonts w:cs="Arial"/>
          <w:b/>
          <w:szCs w:val="22"/>
        </w:rPr>
      </w:pPr>
    </w:p>
    <w:p w:rsidR="00293CA7" w:rsidRDefault="00293CA7" w:rsidP="00293CA7">
      <w:pPr>
        <w:rPr>
          <w:rFonts w:cs="Arial"/>
          <w:b/>
          <w:szCs w:val="22"/>
        </w:rPr>
      </w:pPr>
    </w:p>
    <w:p w:rsidR="00293CA7" w:rsidRPr="009A688B" w:rsidRDefault="00293CA7" w:rsidP="00293CA7">
      <w:pPr>
        <w:rPr>
          <w:rFonts w:cs="Arial"/>
          <w:b/>
          <w:szCs w:val="22"/>
        </w:rPr>
      </w:pPr>
      <w:r w:rsidRPr="009A688B">
        <w:rPr>
          <w:rFonts w:cs="Arial"/>
          <w:b/>
          <w:szCs w:val="22"/>
        </w:rPr>
        <w:t>Owner</w:t>
      </w:r>
      <w:r>
        <w:rPr>
          <w:rFonts w:cs="Arial"/>
          <w:szCs w:val="22"/>
        </w:rPr>
        <w:t xml:space="preserve">: </w:t>
      </w:r>
      <w:r w:rsidRPr="009A688B">
        <w:rPr>
          <w:rFonts w:cs="Arial"/>
          <w:szCs w:val="22"/>
        </w:rPr>
        <w:t>Housing Management Team Manager / Senior Housing Officers</w:t>
      </w:r>
    </w:p>
    <w:p w:rsidR="00293CA7" w:rsidRPr="009A688B" w:rsidRDefault="00293CA7" w:rsidP="00293CA7">
      <w:pPr>
        <w:rPr>
          <w:rFonts w:cs="Arial"/>
          <w:szCs w:val="22"/>
        </w:rPr>
      </w:pPr>
    </w:p>
    <w:p w:rsidR="00293CA7" w:rsidRPr="009A688B" w:rsidRDefault="00293CA7" w:rsidP="00293CA7">
      <w:pPr>
        <w:rPr>
          <w:rFonts w:cs="Arial"/>
          <w:b/>
          <w:szCs w:val="22"/>
        </w:rPr>
      </w:pPr>
      <w:r w:rsidRPr="009A688B">
        <w:rPr>
          <w:rFonts w:cs="Arial"/>
          <w:b/>
          <w:szCs w:val="22"/>
        </w:rPr>
        <w:t xml:space="preserve">Date approved: </w:t>
      </w:r>
      <w:r w:rsidRPr="009A688B">
        <w:rPr>
          <w:rFonts w:cs="Arial"/>
          <w:b/>
          <w:szCs w:val="22"/>
        </w:rPr>
        <w:tab/>
      </w:r>
      <w:r w:rsidRPr="009A688B">
        <w:rPr>
          <w:rFonts w:cs="Arial"/>
          <w:b/>
          <w:szCs w:val="22"/>
        </w:rPr>
        <w:tab/>
      </w:r>
      <w:r w:rsidRPr="009A688B">
        <w:rPr>
          <w:rFonts w:cs="Arial"/>
          <w:b/>
          <w:szCs w:val="22"/>
        </w:rPr>
        <w:tab/>
      </w:r>
      <w:r w:rsidRPr="009A688B">
        <w:rPr>
          <w:rFonts w:cs="Arial"/>
          <w:b/>
          <w:szCs w:val="22"/>
        </w:rPr>
        <w:tab/>
      </w:r>
      <w:r w:rsidRPr="009A688B">
        <w:rPr>
          <w:rFonts w:cs="Arial"/>
          <w:b/>
          <w:szCs w:val="22"/>
        </w:rPr>
        <w:tab/>
        <w:t xml:space="preserve">Effective date: </w:t>
      </w:r>
    </w:p>
    <w:p w:rsidR="00293CA7" w:rsidRPr="009A688B" w:rsidRDefault="00293CA7" w:rsidP="00293CA7">
      <w:pPr>
        <w:rPr>
          <w:rFonts w:cs="Arial"/>
          <w:color w:val="FF0000"/>
          <w:szCs w:val="22"/>
        </w:rPr>
      </w:pPr>
    </w:p>
    <w:p w:rsidR="00293CA7" w:rsidRPr="009A688B" w:rsidRDefault="00293CA7" w:rsidP="00293CA7">
      <w:pPr>
        <w:rPr>
          <w:rFonts w:cs="Arial"/>
          <w:szCs w:val="22"/>
        </w:rPr>
      </w:pPr>
      <w:r w:rsidRPr="009A688B">
        <w:rPr>
          <w:rFonts w:cs="Arial"/>
          <w:szCs w:val="22"/>
        </w:rPr>
        <w:t>Please state what other documents (if any) this Policy is linked to:</w:t>
      </w:r>
    </w:p>
    <w:p w:rsidR="00293CA7" w:rsidRPr="009A688B" w:rsidRDefault="00293CA7" w:rsidP="00293CA7">
      <w:pPr>
        <w:rPr>
          <w:rFonts w:cs="Arial"/>
          <w:szCs w:val="22"/>
        </w:rPr>
      </w:pPr>
    </w:p>
    <w:p w:rsidR="00293CA7" w:rsidRPr="009A688B" w:rsidRDefault="00293CA7" w:rsidP="00293CA7">
      <w:pPr>
        <w:numPr>
          <w:ilvl w:val="0"/>
          <w:numId w:val="3"/>
        </w:numPr>
        <w:rPr>
          <w:rFonts w:cs="Arial"/>
          <w:szCs w:val="22"/>
        </w:rPr>
      </w:pPr>
      <w:r w:rsidRPr="009A688B">
        <w:rPr>
          <w:rFonts w:cs="Arial"/>
          <w:szCs w:val="22"/>
        </w:rPr>
        <w:t xml:space="preserve">Conditions of Tenancy </w:t>
      </w:r>
    </w:p>
    <w:p w:rsidR="00293CA7" w:rsidRPr="009A688B" w:rsidRDefault="00293CA7" w:rsidP="00293CA7">
      <w:pPr>
        <w:numPr>
          <w:ilvl w:val="0"/>
          <w:numId w:val="3"/>
        </w:numPr>
        <w:rPr>
          <w:rFonts w:cs="Arial"/>
          <w:szCs w:val="22"/>
        </w:rPr>
      </w:pPr>
      <w:r w:rsidRPr="009A688B">
        <w:rPr>
          <w:rFonts w:cs="Arial"/>
          <w:szCs w:val="22"/>
        </w:rPr>
        <w:t xml:space="preserve">Rent Collection Procedure </w:t>
      </w:r>
    </w:p>
    <w:p w:rsidR="00293CA7" w:rsidRPr="009A688B" w:rsidRDefault="00293CA7" w:rsidP="00293CA7">
      <w:pPr>
        <w:numPr>
          <w:ilvl w:val="0"/>
          <w:numId w:val="3"/>
        </w:numPr>
        <w:rPr>
          <w:rFonts w:cs="Arial"/>
          <w:szCs w:val="22"/>
        </w:rPr>
      </w:pPr>
      <w:r w:rsidRPr="009A688B">
        <w:rPr>
          <w:rFonts w:cs="Arial"/>
          <w:szCs w:val="22"/>
        </w:rPr>
        <w:t>Fair Debt Policy (Corporate Debt Policy)</w:t>
      </w:r>
    </w:p>
    <w:p w:rsidR="00293CA7" w:rsidRPr="009A688B" w:rsidRDefault="00293CA7" w:rsidP="00293CA7">
      <w:pPr>
        <w:numPr>
          <w:ilvl w:val="0"/>
          <w:numId w:val="3"/>
        </w:numPr>
        <w:rPr>
          <w:rFonts w:cs="Arial"/>
          <w:szCs w:val="22"/>
        </w:rPr>
      </w:pPr>
      <w:r w:rsidRPr="009A688B">
        <w:rPr>
          <w:rFonts w:cs="Arial"/>
          <w:szCs w:val="22"/>
        </w:rPr>
        <w:t>Former Tenants Arrears Policy</w:t>
      </w:r>
    </w:p>
    <w:p w:rsidR="00293CA7" w:rsidRPr="009A688B" w:rsidRDefault="00293CA7" w:rsidP="00293CA7">
      <w:pPr>
        <w:numPr>
          <w:ilvl w:val="0"/>
          <w:numId w:val="3"/>
        </w:numPr>
        <w:rPr>
          <w:rFonts w:cs="Arial"/>
          <w:szCs w:val="22"/>
        </w:rPr>
      </w:pPr>
      <w:r w:rsidRPr="009A688B">
        <w:rPr>
          <w:rFonts w:cs="Arial"/>
          <w:szCs w:val="22"/>
        </w:rPr>
        <w:t>Former Tenants Arrears Procedure</w:t>
      </w:r>
    </w:p>
    <w:p w:rsidR="00293CA7" w:rsidRPr="009A688B" w:rsidRDefault="00293CA7" w:rsidP="00293CA7">
      <w:pPr>
        <w:numPr>
          <w:ilvl w:val="0"/>
          <w:numId w:val="3"/>
        </w:numPr>
        <w:rPr>
          <w:rFonts w:cs="Arial"/>
          <w:szCs w:val="22"/>
        </w:rPr>
      </w:pPr>
      <w:r w:rsidRPr="009A688B">
        <w:rPr>
          <w:rFonts w:cs="Arial"/>
          <w:szCs w:val="22"/>
        </w:rPr>
        <w:t>Sign Up Procedure</w:t>
      </w:r>
    </w:p>
    <w:p w:rsidR="00293CA7" w:rsidRPr="009A688B" w:rsidRDefault="00293CA7" w:rsidP="00293CA7">
      <w:pPr>
        <w:numPr>
          <w:ilvl w:val="0"/>
          <w:numId w:val="3"/>
        </w:numPr>
        <w:rPr>
          <w:rFonts w:cs="Arial"/>
          <w:szCs w:val="22"/>
        </w:rPr>
      </w:pPr>
      <w:r w:rsidRPr="009A688B">
        <w:rPr>
          <w:rFonts w:cs="Arial"/>
          <w:szCs w:val="22"/>
        </w:rPr>
        <w:t>Possession Claim On Line (PCOL) Procedure</w:t>
      </w:r>
    </w:p>
    <w:p w:rsidR="00293CA7" w:rsidRPr="009A688B" w:rsidRDefault="00293CA7" w:rsidP="00293CA7">
      <w:pPr>
        <w:numPr>
          <w:ilvl w:val="0"/>
          <w:numId w:val="3"/>
        </w:numPr>
        <w:rPr>
          <w:rFonts w:cs="Arial"/>
          <w:szCs w:val="22"/>
        </w:rPr>
      </w:pPr>
      <w:r w:rsidRPr="009A688B">
        <w:rPr>
          <w:rFonts w:cs="Arial"/>
          <w:szCs w:val="22"/>
        </w:rPr>
        <w:t>Delegated Authorities Protocol</w:t>
      </w:r>
    </w:p>
    <w:p w:rsidR="00293CA7" w:rsidRPr="009A688B" w:rsidRDefault="00293CA7" w:rsidP="00293CA7">
      <w:pPr>
        <w:rPr>
          <w:rFonts w:cs="Arial"/>
          <w:b/>
          <w:szCs w:val="22"/>
        </w:rPr>
      </w:pPr>
    </w:p>
    <w:p w:rsidR="00293CA7" w:rsidRPr="009A688B" w:rsidRDefault="00293CA7" w:rsidP="00293CA7">
      <w:pPr>
        <w:rPr>
          <w:rFonts w:cs="Arial"/>
          <w:b/>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1070"/>
        <w:gridCol w:w="1978"/>
        <w:gridCol w:w="1511"/>
        <w:gridCol w:w="1766"/>
        <w:gridCol w:w="1434"/>
      </w:tblGrid>
      <w:tr w:rsidR="00293CA7" w:rsidRPr="009A688B" w:rsidTr="009B53E7">
        <w:tc>
          <w:tcPr>
            <w:tcW w:w="1097" w:type="dxa"/>
            <w:shd w:val="clear" w:color="auto" w:fill="CCFFCC"/>
          </w:tcPr>
          <w:p w:rsidR="00293CA7" w:rsidRPr="009A688B" w:rsidRDefault="00293CA7" w:rsidP="009B53E7">
            <w:pPr>
              <w:rPr>
                <w:rFonts w:cs="Arial"/>
                <w:b/>
                <w:szCs w:val="22"/>
              </w:rPr>
            </w:pPr>
            <w:r w:rsidRPr="009A688B">
              <w:rPr>
                <w:rFonts w:cs="Arial"/>
                <w:b/>
                <w:szCs w:val="22"/>
              </w:rPr>
              <w:t>Version</w:t>
            </w:r>
          </w:p>
        </w:tc>
        <w:tc>
          <w:tcPr>
            <w:tcW w:w="1070" w:type="dxa"/>
            <w:shd w:val="clear" w:color="auto" w:fill="CCFFCC"/>
          </w:tcPr>
          <w:p w:rsidR="00293CA7" w:rsidRPr="009A688B" w:rsidRDefault="00293CA7" w:rsidP="009B53E7">
            <w:pPr>
              <w:rPr>
                <w:rFonts w:cs="Arial"/>
                <w:b/>
                <w:szCs w:val="22"/>
              </w:rPr>
            </w:pPr>
            <w:r w:rsidRPr="009A688B">
              <w:rPr>
                <w:rFonts w:cs="Arial"/>
                <w:b/>
                <w:szCs w:val="22"/>
              </w:rPr>
              <w:t>Date</w:t>
            </w:r>
          </w:p>
        </w:tc>
        <w:tc>
          <w:tcPr>
            <w:tcW w:w="1978" w:type="dxa"/>
            <w:shd w:val="clear" w:color="auto" w:fill="CCFFCC"/>
          </w:tcPr>
          <w:p w:rsidR="00293CA7" w:rsidRPr="009A688B" w:rsidRDefault="00293CA7" w:rsidP="009B53E7">
            <w:pPr>
              <w:rPr>
                <w:rFonts w:cs="Arial"/>
                <w:b/>
                <w:szCs w:val="22"/>
              </w:rPr>
            </w:pPr>
            <w:r w:rsidRPr="009A688B">
              <w:rPr>
                <w:rFonts w:cs="Arial"/>
                <w:b/>
                <w:szCs w:val="22"/>
              </w:rPr>
              <w:t>Details of amendment</w:t>
            </w:r>
          </w:p>
        </w:tc>
        <w:tc>
          <w:tcPr>
            <w:tcW w:w="1511" w:type="dxa"/>
            <w:shd w:val="clear" w:color="auto" w:fill="CCFFCC"/>
          </w:tcPr>
          <w:p w:rsidR="00293CA7" w:rsidRPr="009A688B" w:rsidRDefault="00293CA7" w:rsidP="009B53E7">
            <w:pPr>
              <w:rPr>
                <w:rFonts w:cs="Arial"/>
                <w:b/>
                <w:szCs w:val="22"/>
              </w:rPr>
            </w:pPr>
            <w:r w:rsidRPr="009A688B">
              <w:rPr>
                <w:rFonts w:cs="Arial"/>
                <w:b/>
                <w:szCs w:val="22"/>
              </w:rPr>
              <w:t>Creator/</w:t>
            </w:r>
          </w:p>
          <w:p w:rsidR="00293CA7" w:rsidRPr="009A688B" w:rsidRDefault="00293CA7" w:rsidP="009B53E7">
            <w:pPr>
              <w:rPr>
                <w:rFonts w:cs="Arial"/>
                <w:b/>
                <w:szCs w:val="22"/>
              </w:rPr>
            </w:pPr>
            <w:r w:rsidRPr="009A688B">
              <w:rPr>
                <w:rFonts w:cs="Arial"/>
                <w:b/>
                <w:szCs w:val="22"/>
              </w:rPr>
              <w:t>amender</w:t>
            </w:r>
          </w:p>
        </w:tc>
        <w:tc>
          <w:tcPr>
            <w:tcW w:w="1766" w:type="dxa"/>
            <w:shd w:val="clear" w:color="auto" w:fill="CCFFCC"/>
          </w:tcPr>
          <w:p w:rsidR="00293CA7" w:rsidRPr="009A688B" w:rsidRDefault="00293CA7" w:rsidP="009B53E7">
            <w:pPr>
              <w:rPr>
                <w:rFonts w:cs="Arial"/>
                <w:b/>
                <w:szCs w:val="22"/>
              </w:rPr>
            </w:pPr>
            <w:r w:rsidRPr="009A688B">
              <w:rPr>
                <w:rFonts w:cs="Arial"/>
                <w:b/>
                <w:szCs w:val="22"/>
              </w:rPr>
              <w:t>Approved by</w:t>
            </w:r>
          </w:p>
        </w:tc>
        <w:tc>
          <w:tcPr>
            <w:tcW w:w="1434" w:type="dxa"/>
            <w:shd w:val="clear" w:color="auto" w:fill="CCFFCC"/>
          </w:tcPr>
          <w:p w:rsidR="00293CA7" w:rsidRPr="009A688B" w:rsidRDefault="00293CA7" w:rsidP="009B53E7">
            <w:pPr>
              <w:rPr>
                <w:rFonts w:cs="Arial"/>
                <w:b/>
                <w:szCs w:val="22"/>
              </w:rPr>
            </w:pPr>
            <w:r w:rsidRPr="009A688B">
              <w:rPr>
                <w:rFonts w:cs="Arial"/>
                <w:b/>
                <w:szCs w:val="22"/>
              </w:rPr>
              <w:t>Next review due</w:t>
            </w:r>
          </w:p>
        </w:tc>
      </w:tr>
      <w:tr w:rsidR="00293CA7" w:rsidRPr="009A688B" w:rsidTr="009B53E7">
        <w:tc>
          <w:tcPr>
            <w:tcW w:w="1097" w:type="dxa"/>
          </w:tcPr>
          <w:p w:rsidR="00293CA7" w:rsidRPr="009A688B" w:rsidRDefault="00293CA7" w:rsidP="009B53E7">
            <w:pPr>
              <w:rPr>
                <w:rFonts w:cs="Arial"/>
                <w:szCs w:val="22"/>
              </w:rPr>
            </w:pPr>
            <w:r w:rsidRPr="009A688B">
              <w:rPr>
                <w:rFonts w:cs="Arial"/>
                <w:szCs w:val="22"/>
              </w:rPr>
              <w:t>1</w:t>
            </w:r>
          </w:p>
        </w:tc>
        <w:tc>
          <w:tcPr>
            <w:tcW w:w="1070" w:type="dxa"/>
          </w:tcPr>
          <w:p w:rsidR="00293CA7" w:rsidRPr="009A688B" w:rsidRDefault="00293CA7" w:rsidP="009B53E7">
            <w:pPr>
              <w:rPr>
                <w:rFonts w:cs="Arial"/>
                <w:szCs w:val="22"/>
              </w:rPr>
            </w:pPr>
            <w:r w:rsidRPr="009A688B">
              <w:rPr>
                <w:rFonts w:cs="Arial"/>
                <w:szCs w:val="22"/>
              </w:rPr>
              <w:t>June 2010</w:t>
            </w:r>
          </w:p>
        </w:tc>
        <w:tc>
          <w:tcPr>
            <w:tcW w:w="1978" w:type="dxa"/>
          </w:tcPr>
          <w:p w:rsidR="00293CA7" w:rsidRPr="009A688B" w:rsidRDefault="00293CA7" w:rsidP="009B53E7">
            <w:pPr>
              <w:rPr>
                <w:rFonts w:cs="Arial"/>
                <w:szCs w:val="22"/>
              </w:rPr>
            </w:pPr>
            <w:r w:rsidRPr="009A688B">
              <w:rPr>
                <w:rFonts w:cs="Arial"/>
                <w:szCs w:val="22"/>
              </w:rPr>
              <w:t xml:space="preserve">N/A </w:t>
            </w:r>
          </w:p>
        </w:tc>
        <w:tc>
          <w:tcPr>
            <w:tcW w:w="1511" w:type="dxa"/>
          </w:tcPr>
          <w:p w:rsidR="00293CA7" w:rsidRPr="009A688B" w:rsidRDefault="00293CA7" w:rsidP="009B53E7">
            <w:pPr>
              <w:rPr>
                <w:rFonts w:cs="Arial"/>
                <w:szCs w:val="22"/>
              </w:rPr>
            </w:pPr>
            <w:r w:rsidRPr="009A688B">
              <w:rPr>
                <w:rFonts w:cs="Arial"/>
                <w:szCs w:val="22"/>
              </w:rPr>
              <w:t>Andrew Wallace</w:t>
            </w:r>
          </w:p>
        </w:tc>
        <w:tc>
          <w:tcPr>
            <w:tcW w:w="1766" w:type="dxa"/>
          </w:tcPr>
          <w:p w:rsidR="00293CA7" w:rsidRPr="009A688B" w:rsidRDefault="00293CA7" w:rsidP="009B53E7">
            <w:pPr>
              <w:rPr>
                <w:rFonts w:cs="Arial"/>
                <w:szCs w:val="22"/>
              </w:rPr>
            </w:pPr>
            <w:r w:rsidRPr="009A688B">
              <w:rPr>
                <w:rFonts w:cs="Arial"/>
                <w:szCs w:val="22"/>
              </w:rPr>
              <w:t>Amanda Harper</w:t>
            </w:r>
          </w:p>
        </w:tc>
        <w:tc>
          <w:tcPr>
            <w:tcW w:w="1434" w:type="dxa"/>
          </w:tcPr>
          <w:p w:rsidR="00293CA7" w:rsidRPr="009A688B" w:rsidRDefault="00293CA7" w:rsidP="009B53E7">
            <w:pPr>
              <w:rPr>
                <w:rFonts w:cs="Arial"/>
                <w:szCs w:val="22"/>
              </w:rPr>
            </w:pPr>
            <w:r w:rsidRPr="009A688B">
              <w:rPr>
                <w:rFonts w:cs="Arial"/>
                <w:szCs w:val="22"/>
              </w:rPr>
              <w:t>2012/13</w:t>
            </w:r>
          </w:p>
        </w:tc>
      </w:tr>
      <w:tr w:rsidR="00293CA7" w:rsidRPr="009A688B" w:rsidTr="009B53E7">
        <w:tc>
          <w:tcPr>
            <w:tcW w:w="1097" w:type="dxa"/>
          </w:tcPr>
          <w:p w:rsidR="00293CA7" w:rsidRPr="009A688B" w:rsidRDefault="00293CA7" w:rsidP="009B53E7">
            <w:pPr>
              <w:rPr>
                <w:rFonts w:cs="Arial"/>
                <w:szCs w:val="22"/>
              </w:rPr>
            </w:pPr>
            <w:r w:rsidRPr="009A688B">
              <w:rPr>
                <w:rFonts w:cs="Arial"/>
                <w:szCs w:val="22"/>
              </w:rPr>
              <w:t>2</w:t>
            </w:r>
          </w:p>
        </w:tc>
        <w:tc>
          <w:tcPr>
            <w:tcW w:w="1070" w:type="dxa"/>
          </w:tcPr>
          <w:p w:rsidR="00293CA7" w:rsidRPr="009A688B" w:rsidRDefault="00293CA7" w:rsidP="009B53E7">
            <w:pPr>
              <w:rPr>
                <w:rFonts w:cs="Arial"/>
                <w:szCs w:val="22"/>
              </w:rPr>
            </w:pPr>
            <w:r w:rsidRPr="009A688B">
              <w:rPr>
                <w:rFonts w:cs="Arial"/>
                <w:szCs w:val="22"/>
              </w:rPr>
              <w:t>October 2012</w:t>
            </w:r>
          </w:p>
        </w:tc>
        <w:tc>
          <w:tcPr>
            <w:tcW w:w="1978" w:type="dxa"/>
          </w:tcPr>
          <w:p w:rsidR="00293CA7" w:rsidRPr="009A688B" w:rsidRDefault="00293CA7" w:rsidP="009B53E7">
            <w:pPr>
              <w:rPr>
                <w:rFonts w:cs="Arial"/>
                <w:szCs w:val="22"/>
              </w:rPr>
            </w:pPr>
            <w:r w:rsidRPr="009A688B">
              <w:rPr>
                <w:rFonts w:cs="Arial"/>
                <w:szCs w:val="22"/>
              </w:rPr>
              <w:t xml:space="preserve">Amended to respond to emerging challenges from the Welfare Reform Act 2012, and the changing local and national context  </w:t>
            </w:r>
          </w:p>
        </w:tc>
        <w:tc>
          <w:tcPr>
            <w:tcW w:w="1511" w:type="dxa"/>
          </w:tcPr>
          <w:p w:rsidR="00293CA7" w:rsidRPr="009A688B" w:rsidRDefault="00293CA7" w:rsidP="009B53E7">
            <w:pPr>
              <w:rPr>
                <w:rFonts w:cs="Arial"/>
                <w:szCs w:val="22"/>
              </w:rPr>
            </w:pPr>
            <w:r w:rsidRPr="009A688B">
              <w:rPr>
                <w:rFonts w:cs="Arial"/>
                <w:szCs w:val="22"/>
              </w:rPr>
              <w:t>Peter Oliver</w:t>
            </w:r>
          </w:p>
        </w:tc>
        <w:tc>
          <w:tcPr>
            <w:tcW w:w="1766" w:type="dxa"/>
          </w:tcPr>
          <w:p w:rsidR="00293CA7" w:rsidRPr="009A688B" w:rsidRDefault="00293CA7" w:rsidP="009B53E7">
            <w:pPr>
              <w:rPr>
                <w:rFonts w:cs="Arial"/>
                <w:szCs w:val="22"/>
              </w:rPr>
            </w:pPr>
          </w:p>
        </w:tc>
        <w:tc>
          <w:tcPr>
            <w:tcW w:w="1434" w:type="dxa"/>
          </w:tcPr>
          <w:p w:rsidR="00293CA7" w:rsidRPr="009A688B" w:rsidRDefault="00293CA7" w:rsidP="009B53E7">
            <w:pPr>
              <w:rPr>
                <w:rFonts w:cs="Arial"/>
                <w:szCs w:val="22"/>
              </w:rPr>
            </w:pPr>
            <w:r w:rsidRPr="009A688B">
              <w:rPr>
                <w:rFonts w:cs="Arial"/>
                <w:szCs w:val="22"/>
              </w:rPr>
              <w:t>2014/15</w:t>
            </w:r>
          </w:p>
        </w:tc>
      </w:tr>
    </w:tbl>
    <w:p w:rsidR="00293CA7" w:rsidRPr="009A688B" w:rsidRDefault="00293CA7" w:rsidP="00293CA7">
      <w:pPr>
        <w:rPr>
          <w:rFonts w:cs="Arial"/>
          <w:szCs w:val="22"/>
        </w:rPr>
      </w:pPr>
    </w:p>
    <w:p w:rsidR="00293CA7" w:rsidRPr="009A688B" w:rsidRDefault="00293CA7" w:rsidP="00293CA7">
      <w:pPr>
        <w:ind w:left="-180"/>
        <w:rPr>
          <w:rFonts w:cs="Arial"/>
          <w:szCs w:val="22"/>
        </w:rPr>
      </w:pPr>
      <w:r w:rsidRPr="009A688B">
        <w:rPr>
          <w:rFonts w:cs="Arial"/>
          <w:szCs w:val="22"/>
        </w:rPr>
        <w:t>Copies of this document are available upon request and can be obtained in large print or translated into other languages, if required.</w:t>
      </w:r>
    </w:p>
    <w:p w:rsidR="00293CA7" w:rsidRDefault="00293CA7" w:rsidP="00293CA7">
      <w:pPr>
        <w:rPr>
          <w:rFonts w:cs="Arial"/>
          <w:b/>
          <w:szCs w:val="22"/>
        </w:rPr>
      </w:pPr>
    </w:p>
    <w:p w:rsidR="00293CA7" w:rsidRDefault="00293CA7" w:rsidP="00293CA7">
      <w:pPr>
        <w:rPr>
          <w:rFonts w:cs="Arial"/>
          <w:b/>
          <w:szCs w:val="22"/>
        </w:rPr>
      </w:pPr>
    </w:p>
    <w:p w:rsidR="00293CA7" w:rsidRPr="009A688B" w:rsidRDefault="00293CA7" w:rsidP="00293CA7">
      <w:pPr>
        <w:rPr>
          <w:rFonts w:cs="Arial"/>
          <w:b/>
          <w:szCs w:val="22"/>
        </w:rPr>
      </w:pPr>
    </w:p>
    <w:p w:rsidR="00293CA7" w:rsidRDefault="00293CA7" w:rsidP="00293CA7">
      <w:pPr>
        <w:rPr>
          <w:rFonts w:cs="Arial"/>
          <w:b/>
          <w:szCs w:val="22"/>
        </w:rPr>
      </w:pPr>
      <w:r w:rsidRPr="009A688B">
        <w:rPr>
          <w:rFonts w:cs="Arial"/>
          <w:b/>
          <w:color w:val="000000"/>
          <w:szCs w:val="22"/>
          <w:u w:val="single"/>
        </w:rPr>
        <w:t>Rent Collection Policy</w:t>
      </w:r>
    </w:p>
    <w:p w:rsidR="00293CA7" w:rsidRPr="009A688B" w:rsidRDefault="00293CA7" w:rsidP="00293CA7">
      <w:pPr>
        <w:rPr>
          <w:rFonts w:cs="Arial"/>
          <w:b/>
          <w:szCs w:val="22"/>
        </w:rPr>
      </w:pPr>
      <w:bookmarkStart w:id="0" w:name="_MON_1162899297"/>
      <w:bookmarkEnd w:id="0"/>
    </w:p>
    <w:p w:rsidR="00293CA7" w:rsidRPr="009A688B" w:rsidRDefault="00293CA7" w:rsidP="00293CA7">
      <w:pPr>
        <w:pStyle w:val="Default"/>
        <w:widowControl w:val="0"/>
        <w:numPr>
          <w:ilvl w:val="0"/>
          <w:numId w:val="5"/>
        </w:numPr>
        <w:ind w:hanging="578"/>
        <w:rPr>
          <w:b/>
          <w:sz w:val="22"/>
          <w:szCs w:val="22"/>
        </w:rPr>
      </w:pPr>
      <w:r w:rsidRPr="009A688B">
        <w:rPr>
          <w:b/>
          <w:sz w:val="22"/>
          <w:szCs w:val="22"/>
        </w:rPr>
        <w:t>Purpose</w:t>
      </w:r>
    </w:p>
    <w:p w:rsidR="00293CA7" w:rsidRPr="009A688B" w:rsidRDefault="00293CA7" w:rsidP="00293CA7">
      <w:pPr>
        <w:pStyle w:val="Default"/>
        <w:rPr>
          <w:b/>
          <w:sz w:val="22"/>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North West Leicestershire District Council has a retained housing stock and is self financing.  There is a direct link between rental income, service charges and other fees and charges collected, and resources available to spend on housing and related services, including improvements to tenants’ homes.</w:t>
      </w:r>
    </w:p>
    <w:p w:rsidR="00293CA7" w:rsidRPr="009A688B" w:rsidRDefault="00293CA7" w:rsidP="00293CA7">
      <w:pPr>
        <w:pStyle w:val="Default"/>
        <w:ind w:left="750"/>
        <w:rPr>
          <w:sz w:val="22"/>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The Council aims to maximise the rental income it generates to deliver excellent housing and related services.  Preventing tenants falling in to rent arrears is a key priority for the Council’s Housing Service.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The Council recognises that household incomes are under pressure and the likelihood that tenants will struggle to pay their rent is increasing.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This policy outlines the Council’s aims, objectives, and approach to income maximization and rent arrears recovery.</w:t>
      </w:r>
    </w:p>
    <w:p w:rsidR="00293CA7" w:rsidRPr="009A688B" w:rsidRDefault="00293CA7" w:rsidP="00293CA7">
      <w:pPr>
        <w:pStyle w:val="Default"/>
        <w:rPr>
          <w:sz w:val="22"/>
          <w:szCs w:val="22"/>
        </w:rPr>
      </w:pPr>
    </w:p>
    <w:p w:rsidR="00293CA7" w:rsidRPr="009A688B" w:rsidRDefault="00293CA7" w:rsidP="00293CA7">
      <w:pPr>
        <w:pStyle w:val="Default"/>
        <w:widowControl w:val="0"/>
        <w:numPr>
          <w:ilvl w:val="0"/>
          <w:numId w:val="5"/>
        </w:numPr>
        <w:ind w:hanging="578"/>
        <w:rPr>
          <w:b/>
          <w:sz w:val="22"/>
          <w:szCs w:val="22"/>
        </w:rPr>
      </w:pPr>
      <w:r w:rsidRPr="009A688B">
        <w:rPr>
          <w:b/>
          <w:sz w:val="22"/>
          <w:szCs w:val="22"/>
        </w:rPr>
        <w:t xml:space="preserve">Scope </w:t>
      </w:r>
    </w:p>
    <w:p w:rsidR="00293CA7" w:rsidRPr="009A688B" w:rsidRDefault="00293CA7" w:rsidP="00293CA7">
      <w:pPr>
        <w:pStyle w:val="Default"/>
        <w:rPr>
          <w:sz w:val="22"/>
          <w:szCs w:val="22"/>
        </w:rPr>
      </w:pPr>
      <w:r w:rsidRPr="009A688B">
        <w:rPr>
          <w:sz w:val="22"/>
          <w:szCs w:val="22"/>
        </w:rPr>
        <w:t xml:space="preserve">   </w:t>
      </w: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This policy applies to the efficient and effective maximisation and recovery of rental income, service charges and other associated fees </w:t>
      </w:r>
      <w:proofErr w:type="gramStart"/>
      <w:r w:rsidRPr="009A688B">
        <w:rPr>
          <w:sz w:val="22"/>
          <w:szCs w:val="22"/>
        </w:rPr>
        <w:t>and charges relating to the Council’s</w:t>
      </w:r>
      <w:proofErr w:type="gramEnd"/>
      <w:r w:rsidRPr="009A688B">
        <w:rPr>
          <w:sz w:val="22"/>
          <w:szCs w:val="22"/>
        </w:rPr>
        <w:t xml:space="preserve"> housing stock, garages, garage sites, and caravan site.  </w:t>
      </w:r>
    </w:p>
    <w:p w:rsidR="00293CA7" w:rsidRPr="009A688B" w:rsidRDefault="00293CA7" w:rsidP="00293CA7">
      <w:pPr>
        <w:pStyle w:val="Default"/>
        <w:ind w:left="750"/>
        <w:rPr>
          <w:sz w:val="22"/>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The policy will be implemented by Officers of the Council undertaking housing management activities.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The policy aims to maximise rental income and recover arrears or costs incurred by the Council in the following areas</w:t>
      </w:r>
    </w:p>
    <w:p w:rsidR="00293CA7" w:rsidRPr="009A688B" w:rsidRDefault="00293CA7" w:rsidP="00293CA7">
      <w:pPr>
        <w:pStyle w:val="Default"/>
        <w:rPr>
          <w:sz w:val="22"/>
          <w:szCs w:val="22"/>
        </w:rPr>
      </w:pPr>
    </w:p>
    <w:p w:rsidR="00293CA7" w:rsidRPr="009A688B" w:rsidRDefault="00293CA7" w:rsidP="00293CA7">
      <w:pPr>
        <w:pStyle w:val="Default"/>
        <w:widowControl w:val="0"/>
        <w:numPr>
          <w:ilvl w:val="0"/>
          <w:numId w:val="1"/>
        </w:numPr>
        <w:rPr>
          <w:sz w:val="22"/>
          <w:szCs w:val="22"/>
        </w:rPr>
      </w:pPr>
      <w:r w:rsidRPr="009A688B">
        <w:rPr>
          <w:sz w:val="22"/>
          <w:szCs w:val="22"/>
        </w:rPr>
        <w:t xml:space="preserve">Current rent arrears and other fees or charges - This is unpaid rent / fees or charges that are due from current tenants in the Council’s residential (living accommodation) and non-residential housing stock and land (garages and garage sites and caravan pitches).  </w:t>
      </w:r>
    </w:p>
    <w:p w:rsidR="00293CA7" w:rsidRPr="009A688B" w:rsidRDefault="00293CA7" w:rsidP="00293CA7">
      <w:pPr>
        <w:pStyle w:val="Default"/>
        <w:rPr>
          <w:sz w:val="22"/>
          <w:szCs w:val="22"/>
        </w:rPr>
      </w:pPr>
    </w:p>
    <w:p w:rsidR="00293CA7" w:rsidRDefault="00293CA7" w:rsidP="00293CA7">
      <w:pPr>
        <w:pStyle w:val="Default"/>
        <w:widowControl w:val="0"/>
        <w:numPr>
          <w:ilvl w:val="0"/>
          <w:numId w:val="1"/>
        </w:numPr>
        <w:rPr>
          <w:sz w:val="22"/>
          <w:szCs w:val="22"/>
        </w:rPr>
      </w:pPr>
      <w:r w:rsidRPr="009A688B">
        <w:rPr>
          <w:sz w:val="22"/>
          <w:szCs w:val="22"/>
        </w:rPr>
        <w:t xml:space="preserve">Former tenant arrears - This is rent that is owed to the Council after a tenancy has ended.  </w:t>
      </w:r>
    </w:p>
    <w:p w:rsidR="00293CA7" w:rsidRDefault="00293CA7" w:rsidP="00293CA7">
      <w:pPr>
        <w:pStyle w:val="ListParagraph"/>
        <w:rPr>
          <w:szCs w:val="22"/>
        </w:rPr>
      </w:pPr>
    </w:p>
    <w:p w:rsidR="00293CA7" w:rsidRPr="00EA35AD" w:rsidRDefault="00293CA7" w:rsidP="00293CA7">
      <w:pPr>
        <w:pStyle w:val="Default"/>
        <w:widowControl w:val="0"/>
        <w:numPr>
          <w:ilvl w:val="0"/>
          <w:numId w:val="1"/>
        </w:numPr>
        <w:rPr>
          <w:sz w:val="22"/>
          <w:szCs w:val="22"/>
        </w:rPr>
      </w:pPr>
      <w:proofErr w:type="spellStart"/>
      <w:r w:rsidRPr="00EA35AD">
        <w:rPr>
          <w:sz w:val="22"/>
          <w:szCs w:val="22"/>
        </w:rPr>
        <w:t>Mesne</w:t>
      </w:r>
      <w:proofErr w:type="spellEnd"/>
      <w:r w:rsidRPr="00EA35AD">
        <w:rPr>
          <w:sz w:val="22"/>
          <w:szCs w:val="22"/>
        </w:rPr>
        <w:t xml:space="preserve"> profits - This is money that is paid to the Council by a person/s that is using a property on a use and occupation only basis.  This situation may arise where a tenancy ends, and a person that has no right to the property is still living there whilst they are seeking alternative accommodation.    </w:t>
      </w:r>
    </w:p>
    <w:p w:rsidR="00293CA7" w:rsidRPr="009A688B" w:rsidRDefault="00293CA7" w:rsidP="00293CA7">
      <w:pPr>
        <w:pStyle w:val="Default"/>
        <w:ind w:left="1080"/>
        <w:rPr>
          <w:sz w:val="22"/>
          <w:szCs w:val="22"/>
        </w:rPr>
      </w:pPr>
    </w:p>
    <w:p w:rsidR="00293CA7" w:rsidRPr="009A688B" w:rsidRDefault="00293CA7" w:rsidP="00293CA7">
      <w:pPr>
        <w:pStyle w:val="Default"/>
        <w:widowControl w:val="0"/>
        <w:numPr>
          <w:ilvl w:val="0"/>
          <w:numId w:val="7"/>
        </w:numPr>
        <w:rPr>
          <w:sz w:val="22"/>
          <w:szCs w:val="22"/>
        </w:rPr>
      </w:pPr>
      <w:r w:rsidRPr="009A688B">
        <w:rPr>
          <w:sz w:val="22"/>
          <w:szCs w:val="22"/>
        </w:rPr>
        <w:t>Service charges - These are charges that are paid in addition to the rent for a property.  Typically these charges are for services that people benefit from, including shared facilities like lighting or door entry facilities in communal areas.</w:t>
      </w:r>
    </w:p>
    <w:p w:rsidR="00293CA7" w:rsidRPr="009A688B" w:rsidRDefault="00293CA7" w:rsidP="00293CA7">
      <w:pPr>
        <w:pStyle w:val="Default"/>
        <w:ind w:left="1080"/>
        <w:rPr>
          <w:sz w:val="22"/>
          <w:szCs w:val="22"/>
        </w:rPr>
      </w:pPr>
    </w:p>
    <w:p w:rsidR="00293CA7" w:rsidRPr="009A688B" w:rsidRDefault="00293CA7" w:rsidP="00293CA7">
      <w:pPr>
        <w:pStyle w:val="Default"/>
        <w:widowControl w:val="0"/>
        <w:numPr>
          <w:ilvl w:val="0"/>
          <w:numId w:val="6"/>
        </w:numPr>
        <w:rPr>
          <w:sz w:val="22"/>
          <w:szCs w:val="22"/>
        </w:rPr>
      </w:pPr>
      <w:r w:rsidRPr="009A688B">
        <w:rPr>
          <w:sz w:val="22"/>
          <w:szCs w:val="22"/>
        </w:rPr>
        <w:t xml:space="preserve">Legal Fees - These are costs that are incurred by the Council when taking legal </w:t>
      </w:r>
      <w:r w:rsidRPr="009A688B">
        <w:rPr>
          <w:sz w:val="22"/>
          <w:szCs w:val="22"/>
        </w:rPr>
        <w:lastRenderedPageBreak/>
        <w:t xml:space="preserve">action against tenants or former tenants for non-payment of rent or other fees or charges. </w:t>
      </w:r>
    </w:p>
    <w:p w:rsidR="00293CA7" w:rsidRPr="009A688B" w:rsidRDefault="00293CA7" w:rsidP="00293CA7">
      <w:pPr>
        <w:pStyle w:val="Default"/>
        <w:rPr>
          <w:sz w:val="22"/>
          <w:szCs w:val="22"/>
        </w:rPr>
      </w:pPr>
    </w:p>
    <w:p w:rsidR="00293CA7" w:rsidRPr="009A688B" w:rsidRDefault="00293CA7" w:rsidP="00293CA7">
      <w:pPr>
        <w:pStyle w:val="CM9"/>
        <w:numPr>
          <w:ilvl w:val="0"/>
          <w:numId w:val="5"/>
        </w:numPr>
        <w:ind w:hanging="578"/>
        <w:rPr>
          <w:b/>
          <w:bCs/>
          <w:color w:val="000000"/>
          <w:sz w:val="22"/>
          <w:szCs w:val="22"/>
        </w:rPr>
      </w:pPr>
      <w:r w:rsidRPr="009A688B">
        <w:rPr>
          <w:b/>
          <w:bCs/>
          <w:color w:val="000000"/>
          <w:sz w:val="22"/>
          <w:szCs w:val="22"/>
        </w:rPr>
        <w:t xml:space="preserve">Aims and objectives </w:t>
      </w:r>
    </w:p>
    <w:p w:rsidR="00293CA7" w:rsidRPr="009A688B" w:rsidRDefault="00293CA7" w:rsidP="00293CA7">
      <w:pPr>
        <w:pStyle w:val="CM9"/>
        <w:ind w:left="142"/>
        <w:rPr>
          <w:bCs/>
          <w:color w:val="000000"/>
          <w:sz w:val="22"/>
          <w:szCs w:val="22"/>
        </w:rPr>
      </w:pPr>
    </w:p>
    <w:p w:rsidR="00293CA7" w:rsidRPr="009A688B" w:rsidRDefault="00293CA7" w:rsidP="00293CA7">
      <w:pPr>
        <w:pStyle w:val="CM9"/>
        <w:numPr>
          <w:ilvl w:val="1"/>
          <w:numId w:val="5"/>
        </w:numPr>
        <w:ind w:hanging="608"/>
        <w:rPr>
          <w:bCs/>
          <w:color w:val="000000"/>
          <w:sz w:val="22"/>
          <w:szCs w:val="22"/>
        </w:rPr>
      </w:pPr>
      <w:r w:rsidRPr="009A688B">
        <w:rPr>
          <w:color w:val="000000"/>
          <w:sz w:val="22"/>
          <w:szCs w:val="22"/>
        </w:rPr>
        <w:t xml:space="preserve">Protect the Council’s income stream, efficiently and effectively </w:t>
      </w:r>
      <w:proofErr w:type="spellStart"/>
      <w:r w:rsidRPr="009A688B">
        <w:rPr>
          <w:color w:val="000000"/>
          <w:sz w:val="22"/>
          <w:szCs w:val="22"/>
        </w:rPr>
        <w:t>maximising</w:t>
      </w:r>
      <w:proofErr w:type="spellEnd"/>
      <w:r w:rsidRPr="009A688B">
        <w:rPr>
          <w:color w:val="000000"/>
          <w:sz w:val="22"/>
          <w:szCs w:val="22"/>
        </w:rPr>
        <w:t xml:space="preserve"> income from rents, service charges, and other fees and charges associated with the Council’s housing stock, garages, garage sites and caravan site.</w:t>
      </w:r>
    </w:p>
    <w:p w:rsidR="00293CA7" w:rsidRPr="009A688B" w:rsidRDefault="00293CA7" w:rsidP="00293CA7">
      <w:pPr>
        <w:pStyle w:val="Default"/>
        <w:rPr>
          <w:sz w:val="22"/>
          <w:szCs w:val="22"/>
        </w:rPr>
      </w:pPr>
    </w:p>
    <w:p w:rsidR="00293CA7" w:rsidRPr="009A688B" w:rsidRDefault="00293CA7" w:rsidP="00293CA7">
      <w:pPr>
        <w:pStyle w:val="CM9"/>
        <w:ind w:left="750" w:hanging="608"/>
        <w:rPr>
          <w:bCs/>
          <w:color w:val="000000"/>
          <w:sz w:val="22"/>
          <w:szCs w:val="22"/>
        </w:rPr>
      </w:pPr>
      <w:r w:rsidRPr="009A688B">
        <w:rPr>
          <w:sz w:val="22"/>
          <w:szCs w:val="22"/>
        </w:rPr>
        <w:t>3.2</w:t>
      </w:r>
      <w:r w:rsidRPr="009A688B">
        <w:rPr>
          <w:sz w:val="22"/>
          <w:szCs w:val="22"/>
        </w:rPr>
        <w:tab/>
        <w:t>Maintain top quartile current rent arrears performance against other local authorities (at 2011/12 this was 1.60% arrears from current tenants).</w:t>
      </w:r>
    </w:p>
    <w:p w:rsidR="00293CA7" w:rsidRPr="009A688B" w:rsidRDefault="00293CA7" w:rsidP="00293CA7">
      <w:pPr>
        <w:pStyle w:val="CM9"/>
        <w:rPr>
          <w:bCs/>
          <w:color w:val="000000"/>
          <w:sz w:val="22"/>
          <w:szCs w:val="22"/>
        </w:rPr>
      </w:pPr>
    </w:p>
    <w:p w:rsidR="00293CA7" w:rsidRPr="009A688B" w:rsidRDefault="00293CA7" w:rsidP="00293CA7">
      <w:pPr>
        <w:pStyle w:val="CM9"/>
        <w:numPr>
          <w:ilvl w:val="1"/>
          <w:numId w:val="5"/>
        </w:numPr>
        <w:ind w:hanging="608"/>
        <w:rPr>
          <w:bCs/>
          <w:color w:val="000000"/>
          <w:sz w:val="22"/>
          <w:szCs w:val="22"/>
        </w:rPr>
      </w:pPr>
      <w:r w:rsidRPr="009A688B">
        <w:rPr>
          <w:sz w:val="22"/>
          <w:szCs w:val="22"/>
        </w:rPr>
        <w:t xml:space="preserve">Help tenants to pay their rent, service charges, and other fees or charges by providing information and advice. </w:t>
      </w:r>
    </w:p>
    <w:p w:rsidR="00293CA7" w:rsidRPr="009A688B" w:rsidRDefault="00293CA7" w:rsidP="00293CA7">
      <w:pPr>
        <w:pStyle w:val="Default"/>
        <w:rPr>
          <w:sz w:val="22"/>
          <w:szCs w:val="22"/>
        </w:rPr>
      </w:pPr>
    </w:p>
    <w:p w:rsidR="00293CA7" w:rsidRPr="009A688B" w:rsidRDefault="00293CA7" w:rsidP="00293CA7">
      <w:pPr>
        <w:pStyle w:val="CM9"/>
        <w:numPr>
          <w:ilvl w:val="0"/>
          <w:numId w:val="5"/>
        </w:numPr>
        <w:ind w:hanging="578"/>
        <w:rPr>
          <w:bCs/>
          <w:color w:val="000000"/>
          <w:sz w:val="22"/>
          <w:szCs w:val="22"/>
        </w:rPr>
      </w:pPr>
      <w:r w:rsidRPr="009A688B">
        <w:rPr>
          <w:b/>
          <w:sz w:val="22"/>
          <w:szCs w:val="22"/>
        </w:rPr>
        <w:t xml:space="preserve">Tenancy Agreement </w:t>
      </w:r>
    </w:p>
    <w:p w:rsidR="00293CA7" w:rsidRPr="009A688B" w:rsidRDefault="00293CA7" w:rsidP="00293CA7">
      <w:pPr>
        <w:pStyle w:val="Default"/>
        <w:rPr>
          <w:sz w:val="22"/>
          <w:szCs w:val="22"/>
        </w:rPr>
      </w:pPr>
    </w:p>
    <w:p w:rsidR="00293CA7" w:rsidRPr="009A688B" w:rsidRDefault="00293CA7" w:rsidP="00293CA7">
      <w:pPr>
        <w:pStyle w:val="Default"/>
        <w:ind w:left="720" w:hanging="578"/>
        <w:rPr>
          <w:sz w:val="22"/>
          <w:szCs w:val="22"/>
        </w:rPr>
      </w:pPr>
      <w:r w:rsidRPr="009A688B">
        <w:rPr>
          <w:sz w:val="22"/>
          <w:szCs w:val="22"/>
        </w:rPr>
        <w:t>4.1</w:t>
      </w:r>
      <w:r w:rsidRPr="009A688B">
        <w:rPr>
          <w:sz w:val="22"/>
          <w:szCs w:val="22"/>
        </w:rPr>
        <w:tab/>
        <w:t>Tenants have a responsibility to pay rent to the Council.  This is detailed in the Tenancy Agreement which forms the contract between the Council and each tenant.  For example, for current tenants of residential housing stock, our Tenancy Agreement states:  “The rent must be paid when due.”</w:t>
      </w:r>
    </w:p>
    <w:p w:rsidR="00293CA7" w:rsidRPr="009A688B" w:rsidRDefault="00293CA7" w:rsidP="00293CA7">
      <w:pPr>
        <w:pStyle w:val="Default"/>
        <w:rPr>
          <w:sz w:val="22"/>
          <w:szCs w:val="22"/>
        </w:rPr>
      </w:pPr>
      <w:r w:rsidRPr="009A688B">
        <w:rPr>
          <w:sz w:val="22"/>
          <w:szCs w:val="22"/>
        </w:rPr>
        <w:t xml:space="preserve">  </w:t>
      </w:r>
    </w:p>
    <w:p w:rsidR="00293CA7" w:rsidRPr="009A688B" w:rsidRDefault="00293CA7" w:rsidP="00293CA7">
      <w:pPr>
        <w:pStyle w:val="Default"/>
        <w:widowControl w:val="0"/>
        <w:numPr>
          <w:ilvl w:val="0"/>
          <w:numId w:val="5"/>
        </w:numPr>
        <w:ind w:hanging="578"/>
        <w:rPr>
          <w:b/>
          <w:sz w:val="22"/>
          <w:szCs w:val="22"/>
        </w:rPr>
      </w:pPr>
      <w:r w:rsidRPr="009A688B">
        <w:rPr>
          <w:b/>
          <w:sz w:val="22"/>
          <w:szCs w:val="22"/>
        </w:rPr>
        <w:t xml:space="preserve">Approach </w:t>
      </w:r>
    </w:p>
    <w:p w:rsidR="00293CA7" w:rsidRPr="009A688B" w:rsidRDefault="00293CA7" w:rsidP="00293CA7">
      <w:pPr>
        <w:pStyle w:val="Default"/>
        <w:ind w:left="142"/>
        <w:rPr>
          <w:b/>
          <w:sz w:val="22"/>
          <w:szCs w:val="22"/>
        </w:rPr>
      </w:pPr>
    </w:p>
    <w:p w:rsidR="00293CA7" w:rsidRPr="009A688B" w:rsidRDefault="00293CA7" w:rsidP="00293CA7">
      <w:pPr>
        <w:pStyle w:val="Default"/>
        <w:widowControl w:val="0"/>
        <w:numPr>
          <w:ilvl w:val="1"/>
          <w:numId w:val="5"/>
        </w:numPr>
        <w:ind w:hanging="608"/>
        <w:rPr>
          <w:b/>
          <w:sz w:val="22"/>
          <w:szCs w:val="22"/>
        </w:rPr>
      </w:pPr>
      <w:r w:rsidRPr="009A688B">
        <w:rPr>
          <w:sz w:val="22"/>
          <w:szCs w:val="22"/>
        </w:rPr>
        <w:t>We will be proactive in preventing rent arrears, and will focus on early intervention to collect rent and minimise losses.</w:t>
      </w:r>
    </w:p>
    <w:p w:rsidR="00293CA7" w:rsidRPr="009A688B" w:rsidRDefault="00293CA7" w:rsidP="00293CA7">
      <w:pPr>
        <w:pStyle w:val="Default"/>
        <w:ind w:left="750"/>
        <w:rPr>
          <w:b/>
          <w:sz w:val="22"/>
          <w:szCs w:val="22"/>
        </w:rPr>
      </w:pPr>
    </w:p>
    <w:p w:rsidR="00293CA7" w:rsidRPr="009A688B" w:rsidRDefault="00293CA7" w:rsidP="00293CA7">
      <w:pPr>
        <w:pStyle w:val="Default"/>
        <w:widowControl w:val="0"/>
        <w:numPr>
          <w:ilvl w:val="1"/>
          <w:numId w:val="5"/>
        </w:numPr>
        <w:ind w:hanging="608"/>
        <w:rPr>
          <w:b/>
          <w:sz w:val="22"/>
          <w:szCs w:val="22"/>
        </w:rPr>
      </w:pPr>
      <w:r w:rsidRPr="009A688B">
        <w:rPr>
          <w:sz w:val="22"/>
          <w:szCs w:val="22"/>
        </w:rPr>
        <w:t>We will undertake debt recovery action and arrears prevention using letters, emails, visits, text messages, legal notices and the courts.  Actions taken will be on a staged and escalating basis, culminating in legal action, and using eviction as a last resort.</w:t>
      </w:r>
    </w:p>
    <w:p w:rsidR="00293CA7" w:rsidRPr="009A688B" w:rsidRDefault="00293CA7" w:rsidP="00293CA7">
      <w:pPr>
        <w:pStyle w:val="Default"/>
        <w:ind w:left="750"/>
        <w:rPr>
          <w:sz w:val="22"/>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We will be sensitive and sympathetic, and fair but firm when determining what action to take to recover rent arrears. </w:t>
      </w:r>
    </w:p>
    <w:p w:rsidR="00293CA7" w:rsidRPr="009A688B" w:rsidRDefault="00293CA7" w:rsidP="00293CA7">
      <w:pPr>
        <w:pStyle w:val="Default"/>
        <w:ind w:left="750"/>
        <w:rPr>
          <w:sz w:val="22"/>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We will take appropriate and proportionate action against tenants for non-payment of rent.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A </w:t>
      </w:r>
      <w:r w:rsidRPr="009A688B">
        <w:rPr>
          <w:i/>
          <w:sz w:val="22"/>
          <w:szCs w:val="22"/>
        </w:rPr>
        <w:t>Rent Collection Procedure</w:t>
      </w:r>
      <w:r w:rsidRPr="009A688B">
        <w:rPr>
          <w:sz w:val="22"/>
          <w:szCs w:val="22"/>
        </w:rPr>
        <w:t xml:space="preserve"> and a </w:t>
      </w:r>
      <w:r w:rsidRPr="009A688B">
        <w:rPr>
          <w:i/>
          <w:sz w:val="22"/>
          <w:szCs w:val="22"/>
        </w:rPr>
        <w:t>Former Tenant Arrears Procedure</w:t>
      </w:r>
      <w:r w:rsidRPr="009A688B">
        <w:rPr>
          <w:sz w:val="22"/>
          <w:szCs w:val="22"/>
        </w:rPr>
        <w:t xml:space="preserve"> will be used to provide the framework for action to be taken to recover rent arrears and other fees or charges.</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At each stage of the </w:t>
      </w:r>
      <w:r w:rsidRPr="009A688B">
        <w:rPr>
          <w:i/>
          <w:sz w:val="22"/>
          <w:szCs w:val="22"/>
        </w:rPr>
        <w:t>Rent Collection Procedure</w:t>
      </w:r>
      <w:r w:rsidRPr="009A688B">
        <w:rPr>
          <w:sz w:val="22"/>
          <w:szCs w:val="22"/>
        </w:rPr>
        <w:t xml:space="preserve"> and the </w:t>
      </w:r>
      <w:r w:rsidRPr="009A688B">
        <w:rPr>
          <w:i/>
          <w:sz w:val="22"/>
          <w:szCs w:val="22"/>
        </w:rPr>
        <w:t xml:space="preserve">Former Tenant Arrears Procedure </w:t>
      </w:r>
      <w:r w:rsidRPr="009A688B">
        <w:rPr>
          <w:sz w:val="22"/>
          <w:szCs w:val="22"/>
        </w:rPr>
        <w:t xml:space="preserve">we will ask for the rent owing to be paid.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We will seek to make affordable and satisfactory repayment arrangements.</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Tenants will be encouraged to put their rent payments first, as they could lose their home through non-payment of rent.  Tenants will be advised of the consequences of non-payment of rent.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Where all other options have been exhausted, legal action will be taken against tenants </w:t>
      </w:r>
      <w:r w:rsidRPr="009A688B">
        <w:rPr>
          <w:sz w:val="22"/>
          <w:szCs w:val="22"/>
        </w:rPr>
        <w:lastRenderedPageBreak/>
        <w:t>for non-payment of rent.  Ultimately, this action may result in the tenants losing their home.</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We will provide information and advice to tenants to make sure that they are aware of the support and options available to them.</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Pr>
          <w:sz w:val="22"/>
          <w:szCs w:val="22"/>
        </w:rPr>
        <w:t xml:space="preserve">Tenants </w:t>
      </w:r>
      <w:r w:rsidRPr="009A688B">
        <w:rPr>
          <w:sz w:val="22"/>
          <w:szCs w:val="22"/>
        </w:rPr>
        <w:t xml:space="preserve">will be encouraged to maximise their income by applying for welfare benefits and grants.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We will work in partnership with other agencies, and will direct tenants to advice, support, and financial services.</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We will provide a range of payment options, including direct debit, pay online, telephone payment by debit or credit card, home banking (including BACS and TV services) pay point, standing order, and at the post office. </w:t>
      </w:r>
    </w:p>
    <w:p w:rsidR="00293CA7" w:rsidRPr="009A688B" w:rsidRDefault="00293CA7" w:rsidP="00293CA7">
      <w:pPr>
        <w:pStyle w:val="Default"/>
        <w:rPr>
          <w:sz w:val="22"/>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We will operate within the Data Protection Act, and will offer private appointments to tenants.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We will provide rent account statements to tenants on a quarterly basis and rent account balances on request.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sz w:val="22"/>
          <w:szCs w:val="22"/>
        </w:rPr>
        <w:t xml:space="preserve">We will seek to recover legal costs from tenants where legal action is taken.   </w:t>
      </w:r>
    </w:p>
    <w:p w:rsidR="00293CA7" w:rsidRPr="009A688B" w:rsidRDefault="00293CA7" w:rsidP="00293CA7">
      <w:pPr>
        <w:pStyle w:val="Default"/>
        <w:rPr>
          <w:sz w:val="22"/>
          <w:szCs w:val="22"/>
        </w:rPr>
      </w:pPr>
    </w:p>
    <w:p w:rsidR="00293CA7" w:rsidRPr="009A688B" w:rsidRDefault="00293CA7" w:rsidP="00293CA7">
      <w:pPr>
        <w:pStyle w:val="Default"/>
        <w:widowControl w:val="0"/>
        <w:numPr>
          <w:ilvl w:val="0"/>
          <w:numId w:val="5"/>
        </w:numPr>
        <w:ind w:hanging="578"/>
        <w:rPr>
          <w:b/>
          <w:bCs/>
          <w:color w:val="auto"/>
          <w:sz w:val="22"/>
          <w:szCs w:val="22"/>
        </w:rPr>
      </w:pPr>
      <w:bookmarkStart w:id="1" w:name="MonitoringReporting"/>
      <w:r w:rsidRPr="009A688B">
        <w:rPr>
          <w:b/>
          <w:bCs/>
          <w:color w:val="auto"/>
          <w:sz w:val="22"/>
          <w:szCs w:val="22"/>
        </w:rPr>
        <w:t xml:space="preserve">Monitoring and reporting </w:t>
      </w:r>
      <w:bookmarkEnd w:id="1"/>
    </w:p>
    <w:p w:rsidR="00293CA7" w:rsidRPr="009A688B" w:rsidRDefault="00293CA7" w:rsidP="00293CA7">
      <w:pPr>
        <w:pStyle w:val="Default"/>
        <w:ind w:left="720"/>
        <w:rPr>
          <w:bCs/>
          <w:color w:val="auto"/>
          <w:sz w:val="22"/>
          <w:szCs w:val="22"/>
        </w:rPr>
      </w:pPr>
    </w:p>
    <w:p w:rsidR="00293CA7" w:rsidRPr="009A688B" w:rsidRDefault="00293CA7" w:rsidP="00293CA7">
      <w:pPr>
        <w:pStyle w:val="Default"/>
        <w:widowControl w:val="0"/>
        <w:numPr>
          <w:ilvl w:val="1"/>
          <w:numId w:val="5"/>
        </w:numPr>
        <w:ind w:hanging="608"/>
        <w:rPr>
          <w:bCs/>
          <w:color w:val="auto"/>
          <w:sz w:val="22"/>
          <w:szCs w:val="22"/>
        </w:rPr>
      </w:pPr>
      <w:r w:rsidRPr="009A688B">
        <w:rPr>
          <w:color w:val="auto"/>
          <w:sz w:val="22"/>
          <w:szCs w:val="22"/>
        </w:rPr>
        <w:t>On a weekly basis, we will monitor the level of rent arrears.</w:t>
      </w:r>
    </w:p>
    <w:p w:rsidR="00293CA7" w:rsidRPr="009A688B" w:rsidRDefault="00293CA7" w:rsidP="00293CA7">
      <w:pPr>
        <w:pStyle w:val="Default"/>
        <w:ind w:left="750"/>
        <w:rPr>
          <w:bCs/>
          <w:color w:val="auto"/>
          <w:sz w:val="22"/>
          <w:szCs w:val="22"/>
        </w:rPr>
      </w:pPr>
    </w:p>
    <w:p w:rsidR="00293CA7" w:rsidRPr="009A688B" w:rsidRDefault="00293CA7" w:rsidP="00293CA7">
      <w:pPr>
        <w:pStyle w:val="Default"/>
        <w:widowControl w:val="0"/>
        <w:numPr>
          <w:ilvl w:val="1"/>
          <w:numId w:val="5"/>
        </w:numPr>
        <w:ind w:hanging="608"/>
        <w:rPr>
          <w:bCs/>
          <w:color w:val="auto"/>
          <w:sz w:val="22"/>
          <w:szCs w:val="22"/>
        </w:rPr>
      </w:pPr>
      <w:r w:rsidRPr="009A688B">
        <w:rPr>
          <w:color w:val="auto"/>
          <w:sz w:val="22"/>
          <w:szCs w:val="22"/>
        </w:rPr>
        <w:t xml:space="preserve">On a quarterly basis we will record the level of rent arrears and recovery action on the Councils performance management system.  This information will be shared with elected members and tenants.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sz w:val="22"/>
          <w:szCs w:val="22"/>
        </w:rPr>
      </w:pPr>
      <w:r w:rsidRPr="009A688B">
        <w:rPr>
          <w:color w:val="auto"/>
          <w:sz w:val="22"/>
          <w:szCs w:val="22"/>
        </w:rPr>
        <w:t xml:space="preserve">We will benchmark our rent performance against comparable organisations, using the information to analyse and reflect on our </w:t>
      </w:r>
      <w:r>
        <w:rPr>
          <w:color w:val="auto"/>
          <w:sz w:val="22"/>
          <w:szCs w:val="22"/>
        </w:rPr>
        <w:t xml:space="preserve">own </w:t>
      </w:r>
      <w:r w:rsidRPr="009A688B">
        <w:rPr>
          <w:color w:val="auto"/>
          <w:sz w:val="22"/>
          <w:szCs w:val="22"/>
        </w:rPr>
        <w:t xml:space="preserve">performance, and make changes to working practices to improve our performance and services for tenants. </w:t>
      </w:r>
    </w:p>
    <w:p w:rsidR="00293CA7" w:rsidRPr="009A688B" w:rsidRDefault="00293CA7" w:rsidP="00293CA7">
      <w:pPr>
        <w:pStyle w:val="Default"/>
        <w:rPr>
          <w:sz w:val="22"/>
          <w:szCs w:val="22"/>
        </w:rPr>
      </w:pPr>
    </w:p>
    <w:p w:rsidR="00293CA7" w:rsidRPr="009A688B" w:rsidRDefault="00293CA7" w:rsidP="00293CA7">
      <w:pPr>
        <w:pStyle w:val="Default"/>
        <w:widowControl w:val="0"/>
        <w:numPr>
          <w:ilvl w:val="1"/>
          <w:numId w:val="5"/>
        </w:numPr>
        <w:ind w:hanging="608"/>
        <w:rPr>
          <w:bCs/>
          <w:color w:val="auto"/>
          <w:sz w:val="22"/>
          <w:szCs w:val="22"/>
        </w:rPr>
      </w:pPr>
      <w:r w:rsidRPr="009A688B">
        <w:rPr>
          <w:color w:val="auto"/>
          <w:sz w:val="22"/>
          <w:szCs w:val="22"/>
        </w:rPr>
        <w:t>We will monitor the number of tenancies brought to an end though eviction for non-payment of rent.</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b/>
          <w:bCs/>
          <w:color w:val="auto"/>
          <w:sz w:val="22"/>
          <w:szCs w:val="22"/>
        </w:rPr>
      </w:pPr>
      <w:r w:rsidRPr="009A688B">
        <w:rPr>
          <w:color w:val="auto"/>
          <w:sz w:val="22"/>
          <w:szCs w:val="22"/>
        </w:rPr>
        <w:t>On a regular basis, we will conduct a rent recovery quality survey to ask tenants what they think of the service that they receive from us.  We will use the results to improve services for tenants.</w:t>
      </w:r>
    </w:p>
    <w:p w:rsidR="00293CA7" w:rsidRPr="009A688B" w:rsidRDefault="00293CA7" w:rsidP="00293CA7">
      <w:pPr>
        <w:pStyle w:val="Default"/>
        <w:rPr>
          <w:b/>
          <w:color w:val="auto"/>
          <w:sz w:val="22"/>
          <w:szCs w:val="22"/>
        </w:rPr>
      </w:pPr>
    </w:p>
    <w:p w:rsidR="00293CA7" w:rsidRPr="009A688B" w:rsidRDefault="00293CA7" w:rsidP="00293CA7">
      <w:pPr>
        <w:pStyle w:val="Default"/>
        <w:widowControl w:val="0"/>
        <w:numPr>
          <w:ilvl w:val="0"/>
          <w:numId w:val="5"/>
        </w:numPr>
        <w:ind w:hanging="578"/>
        <w:rPr>
          <w:b/>
          <w:color w:val="auto"/>
          <w:sz w:val="22"/>
          <w:szCs w:val="22"/>
        </w:rPr>
      </w:pPr>
      <w:r w:rsidRPr="009A688B">
        <w:rPr>
          <w:b/>
          <w:color w:val="auto"/>
          <w:sz w:val="22"/>
          <w:szCs w:val="22"/>
        </w:rPr>
        <w:t xml:space="preserve">Right to a Review </w:t>
      </w:r>
    </w:p>
    <w:p w:rsidR="00293CA7" w:rsidRPr="009A688B" w:rsidRDefault="00293CA7" w:rsidP="00293CA7">
      <w:pPr>
        <w:pStyle w:val="Default"/>
        <w:rPr>
          <w:color w:val="auto"/>
          <w:sz w:val="22"/>
          <w:szCs w:val="22"/>
        </w:rPr>
      </w:pPr>
    </w:p>
    <w:p w:rsidR="00293CA7" w:rsidRPr="009A688B" w:rsidRDefault="00293CA7" w:rsidP="00293CA7">
      <w:pPr>
        <w:pStyle w:val="Default"/>
        <w:ind w:left="720" w:hanging="720"/>
        <w:rPr>
          <w:b/>
          <w:bCs/>
          <w:color w:val="auto"/>
          <w:sz w:val="22"/>
          <w:szCs w:val="22"/>
        </w:rPr>
      </w:pPr>
      <w:r w:rsidRPr="009A688B">
        <w:rPr>
          <w:color w:val="auto"/>
          <w:sz w:val="22"/>
          <w:szCs w:val="22"/>
        </w:rPr>
        <w:t>7.1</w:t>
      </w:r>
      <w:r w:rsidRPr="009A688B">
        <w:rPr>
          <w:color w:val="auto"/>
          <w:sz w:val="22"/>
          <w:szCs w:val="22"/>
        </w:rPr>
        <w:tab/>
        <w:t xml:space="preserve">Where tenants, former tenants or those people occupying a property on a use and occupation basis feel that we have not carried out our duties under this Policy, they have the right to make a complaint to us under the Council’s </w:t>
      </w:r>
      <w:r w:rsidRPr="009A688B">
        <w:rPr>
          <w:i/>
          <w:color w:val="auto"/>
          <w:sz w:val="22"/>
          <w:szCs w:val="22"/>
        </w:rPr>
        <w:t>Complaints Policy</w:t>
      </w:r>
      <w:r w:rsidRPr="009A688B">
        <w:rPr>
          <w:color w:val="auto"/>
          <w:sz w:val="22"/>
          <w:szCs w:val="22"/>
        </w:rPr>
        <w:t xml:space="preserve">.    </w:t>
      </w:r>
    </w:p>
    <w:p w:rsidR="00293CA7" w:rsidRPr="009A688B" w:rsidRDefault="00293CA7" w:rsidP="00293CA7">
      <w:pPr>
        <w:pStyle w:val="ListParagraph"/>
        <w:rPr>
          <w:rFonts w:cs="Arial"/>
          <w:b/>
          <w:bCs/>
          <w:szCs w:val="22"/>
        </w:rPr>
      </w:pPr>
    </w:p>
    <w:p w:rsidR="00293CA7" w:rsidRPr="009A688B" w:rsidRDefault="00293CA7" w:rsidP="00293CA7">
      <w:pPr>
        <w:pStyle w:val="Default"/>
        <w:widowControl w:val="0"/>
        <w:numPr>
          <w:ilvl w:val="0"/>
          <w:numId w:val="5"/>
        </w:numPr>
        <w:ind w:hanging="578"/>
        <w:rPr>
          <w:color w:val="auto"/>
          <w:sz w:val="22"/>
          <w:szCs w:val="22"/>
        </w:rPr>
      </w:pPr>
      <w:r w:rsidRPr="009A688B">
        <w:rPr>
          <w:b/>
          <w:sz w:val="22"/>
          <w:szCs w:val="22"/>
        </w:rPr>
        <w:t xml:space="preserve">Equality and diversity </w:t>
      </w:r>
    </w:p>
    <w:p w:rsidR="00293CA7" w:rsidRPr="009A688B" w:rsidRDefault="00293CA7" w:rsidP="00293CA7">
      <w:pPr>
        <w:pStyle w:val="Default"/>
        <w:ind w:left="720"/>
        <w:rPr>
          <w:color w:val="auto"/>
          <w:sz w:val="22"/>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color w:val="auto"/>
          <w:sz w:val="22"/>
          <w:szCs w:val="22"/>
        </w:rPr>
        <w:lastRenderedPageBreak/>
        <w:t xml:space="preserve">All tenants (and their advocates) will have access to this document upon request or from our websites. </w:t>
      </w:r>
    </w:p>
    <w:p w:rsidR="00293CA7" w:rsidRPr="009A688B" w:rsidRDefault="00293CA7" w:rsidP="00293CA7">
      <w:pPr>
        <w:pStyle w:val="Default"/>
        <w:ind w:left="750"/>
        <w:rPr>
          <w:color w:val="auto"/>
          <w:sz w:val="22"/>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color w:val="auto"/>
          <w:sz w:val="22"/>
          <w:szCs w:val="22"/>
        </w:rPr>
        <w:t xml:space="preserve">This document and accompanying leaflets / letters can be translated or provided in alternative formats (e.g. Braille, large print, and audio) upon request. </w:t>
      </w:r>
    </w:p>
    <w:p w:rsidR="00293CA7" w:rsidRPr="009A688B" w:rsidRDefault="00293CA7" w:rsidP="00293CA7">
      <w:pPr>
        <w:pStyle w:val="Default"/>
        <w:ind w:left="750"/>
        <w:rPr>
          <w:color w:val="auto"/>
          <w:sz w:val="22"/>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sz w:val="22"/>
          <w:szCs w:val="22"/>
        </w:rPr>
        <w:t>In implementing this policy we recognise and value diversity, and will meet all statutory, moral, and organisational duties across the equality and diversity strands:</w:t>
      </w:r>
    </w:p>
    <w:p w:rsidR="00293CA7" w:rsidRPr="009A688B" w:rsidRDefault="00293CA7" w:rsidP="00293CA7">
      <w:pPr>
        <w:pStyle w:val="CM9"/>
        <w:spacing w:line="276" w:lineRule="atLeast"/>
        <w:rPr>
          <w:sz w:val="22"/>
          <w:szCs w:val="22"/>
        </w:rPr>
      </w:pP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 xml:space="preserve">Age </w:t>
      </w: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 xml:space="preserve">Disability </w:t>
      </w: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 xml:space="preserve">Gender reassignment </w:t>
      </w: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 xml:space="preserve">Pregnancy and maternity </w:t>
      </w: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 xml:space="preserve">Race </w:t>
      </w: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 xml:space="preserve">Religion or belief </w:t>
      </w:r>
    </w:p>
    <w:p w:rsidR="00293CA7" w:rsidRPr="009A688B" w:rsidRDefault="00293CA7" w:rsidP="00293CA7">
      <w:pPr>
        <w:pStyle w:val="CM9"/>
        <w:numPr>
          <w:ilvl w:val="0"/>
          <w:numId w:val="4"/>
        </w:numPr>
        <w:spacing w:line="276" w:lineRule="atLeast"/>
        <w:ind w:firstLine="131"/>
        <w:rPr>
          <w:color w:val="000000"/>
          <w:sz w:val="22"/>
          <w:szCs w:val="22"/>
        </w:rPr>
      </w:pPr>
      <w:r w:rsidRPr="009A688B">
        <w:rPr>
          <w:sz w:val="22"/>
          <w:szCs w:val="22"/>
        </w:rPr>
        <w:t>Sex (gender)</w:t>
      </w:r>
    </w:p>
    <w:p w:rsidR="00293CA7" w:rsidRPr="009A688B" w:rsidRDefault="00293CA7" w:rsidP="00293CA7">
      <w:pPr>
        <w:pStyle w:val="CM9"/>
        <w:numPr>
          <w:ilvl w:val="0"/>
          <w:numId w:val="4"/>
        </w:numPr>
        <w:spacing w:line="276" w:lineRule="atLeast"/>
        <w:ind w:firstLine="131"/>
        <w:rPr>
          <w:sz w:val="22"/>
          <w:szCs w:val="22"/>
        </w:rPr>
      </w:pPr>
      <w:r w:rsidRPr="009A688B">
        <w:rPr>
          <w:sz w:val="22"/>
          <w:szCs w:val="22"/>
        </w:rPr>
        <w:t xml:space="preserve">Sexual orientation </w:t>
      </w:r>
    </w:p>
    <w:p w:rsidR="00293CA7" w:rsidRPr="009A688B" w:rsidRDefault="00293CA7" w:rsidP="00293CA7">
      <w:pPr>
        <w:pStyle w:val="Default"/>
        <w:rPr>
          <w:sz w:val="22"/>
          <w:szCs w:val="22"/>
        </w:rPr>
      </w:pPr>
    </w:p>
    <w:p w:rsidR="00293CA7" w:rsidRPr="009A688B" w:rsidRDefault="00293CA7" w:rsidP="00293CA7">
      <w:pPr>
        <w:pStyle w:val="CM9"/>
        <w:numPr>
          <w:ilvl w:val="1"/>
          <w:numId w:val="5"/>
        </w:numPr>
        <w:spacing w:line="276" w:lineRule="atLeast"/>
        <w:ind w:hanging="608"/>
        <w:rPr>
          <w:color w:val="000000"/>
          <w:sz w:val="22"/>
          <w:szCs w:val="22"/>
        </w:rPr>
      </w:pPr>
      <w:r w:rsidRPr="009A688B">
        <w:rPr>
          <w:sz w:val="22"/>
          <w:szCs w:val="22"/>
        </w:rPr>
        <w:t>An Equality Impact Assessment has been completed on this policy.</w:t>
      </w:r>
    </w:p>
    <w:p w:rsidR="00293CA7" w:rsidRPr="009A688B" w:rsidRDefault="00293CA7" w:rsidP="00293CA7">
      <w:pPr>
        <w:pStyle w:val="Default"/>
        <w:rPr>
          <w:b/>
          <w:bCs/>
          <w:color w:val="auto"/>
          <w:sz w:val="22"/>
          <w:szCs w:val="22"/>
        </w:rPr>
      </w:pPr>
      <w:bookmarkStart w:id="2" w:name="ApproachtoASB"/>
    </w:p>
    <w:p w:rsidR="00293CA7" w:rsidRPr="009A688B" w:rsidRDefault="00293CA7" w:rsidP="00293CA7">
      <w:pPr>
        <w:pStyle w:val="Default"/>
        <w:widowControl w:val="0"/>
        <w:numPr>
          <w:ilvl w:val="0"/>
          <w:numId w:val="5"/>
        </w:numPr>
        <w:ind w:hanging="578"/>
        <w:rPr>
          <w:color w:val="auto"/>
          <w:sz w:val="22"/>
          <w:szCs w:val="22"/>
        </w:rPr>
      </w:pPr>
      <w:r w:rsidRPr="009A688B">
        <w:rPr>
          <w:b/>
          <w:bCs/>
          <w:color w:val="auto"/>
          <w:sz w:val="22"/>
          <w:szCs w:val="22"/>
        </w:rPr>
        <w:t xml:space="preserve">Publicising our approach </w:t>
      </w:r>
      <w:bookmarkEnd w:id="2"/>
    </w:p>
    <w:p w:rsidR="00293CA7" w:rsidRPr="009A688B" w:rsidRDefault="00293CA7" w:rsidP="00293CA7">
      <w:pPr>
        <w:pStyle w:val="Default"/>
        <w:ind w:left="720"/>
        <w:rPr>
          <w:color w:val="auto"/>
          <w:sz w:val="22"/>
          <w:szCs w:val="22"/>
        </w:rPr>
      </w:pPr>
    </w:p>
    <w:p w:rsidR="00293CA7" w:rsidRPr="009A688B" w:rsidRDefault="00293CA7" w:rsidP="00293CA7">
      <w:pPr>
        <w:pStyle w:val="Default"/>
        <w:ind w:left="720" w:hanging="578"/>
        <w:rPr>
          <w:color w:val="auto"/>
          <w:sz w:val="22"/>
          <w:szCs w:val="22"/>
        </w:rPr>
      </w:pPr>
      <w:r w:rsidRPr="009A688B">
        <w:rPr>
          <w:color w:val="auto"/>
          <w:sz w:val="22"/>
          <w:szCs w:val="22"/>
        </w:rPr>
        <w:t>9.1</w:t>
      </w:r>
      <w:r w:rsidRPr="009A688B">
        <w:rPr>
          <w:color w:val="auto"/>
          <w:sz w:val="22"/>
          <w:szCs w:val="22"/>
        </w:rPr>
        <w:tab/>
        <w:t xml:space="preserve">Our approach to rent collection will be publicised to tenants, potential tenants, former tenants, persons occupying properties on a use and occupation basis, officers and partner agencies in a variety of ways including, but not limited to:  </w:t>
      </w:r>
    </w:p>
    <w:p w:rsidR="00293CA7" w:rsidRPr="009A688B" w:rsidRDefault="00293CA7" w:rsidP="00293CA7">
      <w:pPr>
        <w:pStyle w:val="Default"/>
        <w:rPr>
          <w:color w:val="auto"/>
          <w:sz w:val="22"/>
          <w:szCs w:val="22"/>
        </w:rPr>
      </w:pPr>
    </w:p>
    <w:p w:rsidR="00293CA7" w:rsidRPr="009A688B" w:rsidRDefault="00293CA7" w:rsidP="00293CA7">
      <w:pPr>
        <w:pStyle w:val="Default"/>
        <w:numPr>
          <w:ilvl w:val="0"/>
          <w:numId w:val="2"/>
        </w:numPr>
        <w:rPr>
          <w:color w:val="auto"/>
          <w:sz w:val="22"/>
          <w:szCs w:val="22"/>
        </w:rPr>
      </w:pPr>
      <w:r w:rsidRPr="009A688B">
        <w:rPr>
          <w:color w:val="auto"/>
          <w:sz w:val="22"/>
          <w:szCs w:val="22"/>
        </w:rPr>
        <w:t xml:space="preserve">At the pre-tenancy stage </w:t>
      </w:r>
    </w:p>
    <w:p w:rsidR="00293CA7" w:rsidRPr="009A688B" w:rsidRDefault="00293CA7" w:rsidP="00293CA7">
      <w:pPr>
        <w:pStyle w:val="Default"/>
        <w:numPr>
          <w:ilvl w:val="0"/>
          <w:numId w:val="2"/>
        </w:numPr>
        <w:rPr>
          <w:color w:val="auto"/>
          <w:sz w:val="22"/>
          <w:szCs w:val="22"/>
        </w:rPr>
      </w:pPr>
      <w:r w:rsidRPr="009A688B">
        <w:rPr>
          <w:color w:val="auto"/>
          <w:sz w:val="22"/>
          <w:szCs w:val="22"/>
        </w:rPr>
        <w:t xml:space="preserve">At the tenancy sign up </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 xml:space="preserve">Tenants’ Handbook </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The Tenancy Agreement</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Verbally: face to face, and over the phone</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 xml:space="preserve">Letters </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 xml:space="preserve">Leaflets and / or guidance documents </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 xml:space="preserve">Internet, including social media </w:t>
      </w:r>
    </w:p>
    <w:p w:rsidR="00293CA7" w:rsidRPr="009A688B" w:rsidRDefault="00293CA7" w:rsidP="00293CA7">
      <w:pPr>
        <w:pStyle w:val="Default"/>
        <w:numPr>
          <w:ilvl w:val="0"/>
          <w:numId w:val="2"/>
        </w:numPr>
        <w:spacing w:after="36"/>
        <w:rPr>
          <w:color w:val="auto"/>
          <w:sz w:val="22"/>
          <w:szCs w:val="22"/>
        </w:rPr>
      </w:pPr>
      <w:proofErr w:type="spellStart"/>
      <w:r w:rsidRPr="009A688B">
        <w:rPr>
          <w:color w:val="auto"/>
          <w:sz w:val="22"/>
          <w:szCs w:val="22"/>
        </w:rPr>
        <w:t>InTouch</w:t>
      </w:r>
      <w:proofErr w:type="spellEnd"/>
      <w:r w:rsidRPr="009A688B">
        <w:rPr>
          <w:color w:val="auto"/>
          <w:sz w:val="22"/>
          <w:szCs w:val="22"/>
        </w:rPr>
        <w:t xml:space="preserve"> newsletter  </w:t>
      </w:r>
    </w:p>
    <w:p w:rsidR="00293CA7" w:rsidRPr="009A688B" w:rsidRDefault="00293CA7" w:rsidP="00293CA7">
      <w:pPr>
        <w:pStyle w:val="Default"/>
        <w:numPr>
          <w:ilvl w:val="0"/>
          <w:numId w:val="2"/>
        </w:numPr>
        <w:spacing w:after="36"/>
        <w:rPr>
          <w:color w:val="auto"/>
          <w:sz w:val="22"/>
          <w:szCs w:val="22"/>
        </w:rPr>
      </w:pPr>
      <w:r w:rsidRPr="009A688B">
        <w:rPr>
          <w:color w:val="auto"/>
          <w:sz w:val="22"/>
          <w:szCs w:val="22"/>
        </w:rPr>
        <w:t xml:space="preserve">Policy briefings and training </w:t>
      </w:r>
    </w:p>
    <w:p w:rsidR="00293CA7" w:rsidRPr="009A688B" w:rsidRDefault="00293CA7" w:rsidP="00293CA7">
      <w:pPr>
        <w:pStyle w:val="Default"/>
        <w:rPr>
          <w:color w:val="FF0000"/>
          <w:sz w:val="22"/>
          <w:szCs w:val="22"/>
        </w:rPr>
      </w:pPr>
      <w:bookmarkStart w:id="3" w:name="DevelopmentandResponsibility"/>
    </w:p>
    <w:p w:rsidR="00293CA7" w:rsidRPr="009A688B" w:rsidRDefault="00293CA7" w:rsidP="00293CA7">
      <w:pPr>
        <w:pStyle w:val="Default"/>
        <w:widowControl w:val="0"/>
        <w:numPr>
          <w:ilvl w:val="0"/>
          <w:numId w:val="5"/>
        </w:numPr>
        <w:ind w:hanging="578"/>
        <w:rPr>
          <w:b/>
          <w:bCs/>
          <w:color w:val="auto"/>
          <w:sz w:val="22"/>
          <w:szCs w:val="22"/>
        </w:rPr>
      </w:pPr>
      <w:r w:rsidRPr="009A688B">
        <w:rPr>
          <w:b/>
          <w:bCs/>
          <w:color w:val="auto"/>
          <w:sz w:val="22"/>
          <w:szCs w:val="22"/>
        </w:rPr>
        <w:t xml:space="preserve">Policy development and responsibility </w:t>
      </w:r>
    </w:p>
    <w:bookmarkEnd w:id="3"/>
    <w:p w:rsidR="00293CA7" w:rsidRPr="009A688B" w:rsidRDefault="00293CA7" w:rsidP="00293CA7">
      <w:pPr>
        <w:pStyle w:val="Default"/>
        <w:rPr>
          <w:color w:val="auto"/>
          <w:sz w:val="22"/>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color w:val="auto"/>
          <w:sz w:val="22"/>
          <w:szCs w:val="22"/>
        </w:rPr>
        <w:t xml:space="preserve">This policy has been developed in consultation with tenants, officers, elected members, and other stakeholders. </w:t>
      </w:r>
    </w:p>
    <w:p w:rsidR="00293CA7" w:rsidRPr="009A688B" w:rsidRDefault="00293CA7" w:rsidP="00293CA7">
      <w:pPr>
        <w:pStyle w:val="Default"/>
        <w:ind w:left="750"/>
        <w:rPr>
          <w:color w:val="auto"/>
          <w:sz w:val="22"/>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color w:val="auto"/>
          <w:sz w:val="22"/>
          <w:szCs w:val="22"/>
        </w:rPr>
        <w:t>This policy has been approved by elected members on the Council’s Cabinet (Executive Board Meeting)</w:t>
      </w:r>
      <w:r>
        <w:rPr>
          <w:color w:val="auto"/>
          <w:sz w:val="22"/>
          <w:szCs w:val="22"/>
        </w:rPr>
        <w:t>.</w:t>
      </w:r>
      <w:r w:rsidRPr="009A688B">
        <w:rPr>
          <w:color w:val="auto"/>
          <w:sz w:val="22"/>
          <w:szCs w:val="22"/>
        </w:rPr>
        <w:t xml:space="preserve"> </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color w:val="auto"/>
          <w:sz w:val="22"/>
          <w:szCs w:val="22"/>
        </w:rPr>
        <w:t>The Team Manager for Housing Management (or their equivalent post) is responsible for the implementation and review of this policy, and will delegate responsibilities to the Senior Housing Officers for any decision making arising from this policy.</w:t>
      </w:r>
    </w:p>
    <w:p w:rsidR="00293CA7" w:rsidRPr="009A688B" w:rsidRDefault="00293CA7" w:rsidP="00293CA7">
      <w:pPr>
        <w:pStyle w:val="ListParagraph"/>
        <w:rPr>
          <w:rFonts w:cs="Arial"/>
          <w:szCs w:val="22"/>
        </w:rPr>
      </w:pPr>
    </w:p>
    <w:p w:rsidR="00293CA7" w:rsidRPr="009A688B" w:rsidRDefault="00293CA7" w:rsidP="00293CA7">
      <w:pPr>
        <w:pStyle w:val="Default"/>
        <w:widowControl w:val="0"/>
        <w:numPr>
          <w:ilvl w:val="1"/>
          <w:numId w:val="5"/>
        </w:numPr>
        <w:ind w:hanging="608"/>
        <w:rPr>
          <w:color w:val="auto"/>
          <w:sz w:val="22"/>
          <w:szCs w:val="22"/>
        </w:rPr>
      </w:pPr>
      <w:r w:rsidRPr="009A688B">
        <w:rPr>
          <w:color w:val="auto"/>
          <w:sz w:val="22"/>
          <w:szCs w:val="22"/>
        </w:rPr>
        <w:t xml:space="preserve">Officers will be trained to deliver this policy and are responsible for reporting any difficulties with its administration to a Senior Housing Officer. </w:t>
      </w:r>
    </w:p>
    <w:p w:rsidR="00293CA7" w:rsidRPr="009A688B" w:rsidRDefault="00293CA7" w:rsidP="00293CA7">
      <w:pPr>
        <w:pStyle w:val="ListParagraph"/>
        <w:rPr>
          <w:rFonts w:cs="Arial"/>
          <w:szCs w:val="22"/>
        </w:rPr>
      </w:pPr>
    </w:p>
    <w:p w:rsidR="000E332A" w:rsidRPr="00293CA7" w:rsidRDefault="00293CA7" w:rsidP="00293CA7">
      <w:pPr>
        <w:pStyle w:val="Default"/>
        <w:widowControl w:val="0"/>
        <w:numPr>
          <w:ilvl w:val="1"/>
          <w:numId w:val="5"/>
        </w:numPr>
        <w:ind w:hanging="608"/>
        <w:rPr>
          <w:color w:val="auto"/>
          <w:sz w:val="22"/>
          <w:szCs w:val="22"/>
        </w:rPr>
      </w:pPr>
      <w:r w:rsidRPr="009A688B">
        <w:rPr>
          <w:sz w:val="22"/>
          <w:szCs w:val="22"/>
        </w:rPr>
        <w:t>This Policy will normally be reviewed every three years; however any impact arising from new legislation and case law will be implemented before the planned policy review date.</w:t>
      </w:r>
    </w:p>
    <w:sectPr w:rsidR="000E332A" w:rsidRPr="00293CA7" w:rsidSect="000E33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6A51"/>
    <w:multiLevelType w:val="hybridMultilevel"/>
    <w:tmpl w:val="038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10B6"/>
    <w:multiLevelType w:val="hybridMultilevel"/>
    <w:tmpl w:val="85905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472EA"/>
    <w:multiLevelType w:val="hybridMultilevel"/>
    <w:tmpl w:val="A71EB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846BCA"/>
    <w:multiLevelType w:val="hybridMultilevel"/>
    <w:tmpl w:val="DA16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9670D"/>
    <w:multiLevelType w:val="hybridMultilevel"/>
    <w:tmpl w:val="6E841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7F6FFC"/>
    <w:multiLevelType w:val="hybridMultilevel"/>
    <w:tmpl w:val="DE7E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42851"/>
    <w:multiLevelType w:val="multilevel"/>
    <w:tmpl w:val="898A181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293CA7"/>
    <w:rsid w:val="00060148"/>
    <w:rsid w:val="000D1F0C"/>
    <w:rsid w:val="000D3B88"/>
    <w:rsid w:val="000E332A"/>
    <w:rsid w:val="001020FA"/>
    <w:rsid w:val="001A74F7"/>
    <w:rsid w:val="001C2432"/>
    <w:rsid w:val="001C74FC"/>
    <w:rsid w:val="002055FF"/>
    <w:rsid w:val="00271229"/>
    <w:rsid w:val="00284016"/>
    <w:rsid w:val="00293CA7"/>
    <w:rsid w:val="003B5E79"/>
    <w:rsid w:val="00401807"/>
    <w:rsid w:val="00457F02"/>
    <w:rsid w:val="00467068"/>
    <w:rsid w:val="00476B15"/>
    <w:rsid w:val="004E6201"/>
    <w:rsid w:val="00507AAE"/>
    <w:rsid w:val="007C322E"/>
    <w:rsid w:val="008F26F4"/>
    <w:rsid w:val="00930C16"/>
    <w:rsid w:val="0094577A"/>
    <w:rsid w:val="009E3FD4"/>
    <w:rsid w:val="00A44017"/>
    <w:rsid w:val="00A75F58"/>
    <w:rsid w:val="00AF0DC4"/>
    <w:rsid w:val="00C12ADB"/>
    <w:rsid w:val="00C15B5C"/>
    <w:rsid w:val="00CE2AF6"/>
    <w:rsid w:val="00E15B92"/>
    <w:rsid w:val="00E334B5"/>
    <w:rsid w:val="00F875AB"/>
    <w:rsid w:val="00FF1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A7"/>
    <w:pPr>
      <w:spacing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A7"/>
    <w:pPr>
      <w:autoSpaceDE w:val="0"/>
      <w:autoSpaceDN w:val="0"/>
      <w:adjustRightInd w:val="0"/>
      <w:spacing w:line="240" w:lineRule="auto"/>
    </w:pPr>
    <w:rPr>
      <w:rFonts w:ascii="Arial" w:eastAsia="Calibri" w:hAnsi="Arial" w:cs="Arial"/>
      <w:color w:val="000000"/>
      <w:sz w:val="24"/>
      <w:szCs w:val="24"/>
      <w:lang w:val="en-GB"/>
    </w:rPr>
  </w:style>
  <w:style w:type="paragraph" w:styleId="ListParagraph">
    <w:name w:val="List Paragraph"/>
    <w:basedOn w:val="Normal"/>
    <w:uiPriority w:val="34"/>
    <w:qFormat/>
    <w:rsid w:val="00293CA7"/>
    <w:pPr>
      <w:ind w:left="720"/>
      <w:contextualSpacing/>
    </w:pPr>
  </w:style>
  <w:style w:type="paragraph" w:customStyle="1" w:styleId="CM9">
    <w:name w:val="CM9"/>
    <w:basedOn w:val="Default"/>
    <w:next w:val="Default"/>
    <w:rsid w:val="00293CA7"/>
    <w:pPr>
      <w:widowControl w:val="0"/>
    </w:pPr>
    <w:rPr>
      <w:rFonts w:eastAsia="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4BCD0E392C349873E41E2B742C7F8" ma:contentTypeVersion="0" ma:contentTypeDescription="Create a new document." ma:contentTypeScope="" ma:versionID="98dca2d488edfeea0eb60488d3c3ee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22838-24CF-4A6B-9557-B26EDBE56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B049D-47A3-4CB8-8A45-6A7F03C70A53}">
  <ds:schemaRefs>
    <ds:schemaRef ds:uri="http://schemas.microsoft.com/sharepoint/v3/contenttype/forms"/>
  </ds:schemaRefs>
</ds:datastoreItem>
</file>

<file path=customXml/itemProps3.xml><?xml version="1.0" encoding="utf-8"?>
<ds:datastoreItem xmlns:ds="http://schemas.openxmlformats.org/officeDocument/2006/customXml" ds:itemID="{58AAFCF5-BF4D-4D29-B3FE-4D19C404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8131</Characters>
  <Application>Microsoft Office Word</Application>
  <DocSecurity>0</DocSecurity>
  <Lines>67</Lines>
  <Paragraphs>19</Paragraphs>
  <ScaleCrop>false</ScaleCrop>
  <Company>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POliver</dc:creator>
  <cp:keywords/>
  <dc:description/>
  <cp:lastModifiedBy>mvalentine</cp:lastModifiedBy>
  <cp:revision>2</cp:revision>
  <dcterms:created xsi:type="dcterms:W3CDTF">2014-04-24T14:28:00Z</dcterms:created>
  <dcterms:modified xsi:type="dcterms:W3CDTF">2014-04-24T14:28:00Z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0x0101002984BCD0E392C349873E41E2B742C7F8</vt:lpwstr>
  </property>
</Properties>
</file>