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D4F018" w14:textId="3B836BBC" w:rsidR="00345137" w:rsidRDefault="00697CF5" w:rsidP="00724D32">
      <w:pPr>
        <w:pStyle w:val="NoSpacing"/>
        <w:rPr>
          <w:rFonts w:ascii="Arial" w:hAnsi="Arial" w:cs="Arial"/>
          <w:b/>
        </w:rPr>
      </w:pPr>
      <w:r w:rsidRPr="003B4867">
        <w:rPr>
          <w:noProof/>
          <w:lang w:eastAsia="en-GB"/>
        </w:rPr>
        <w:drawing>
          <wp:inline distT="0" distB="0" distL="0" distR="0" wp14:anchorId="1E3B2FA1" wp14:editId="776A13B8">
            <wp:extent cx="1447800"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866775"/>
                    </a:xfrm>
                    <a:prstGeom prst="rect">
                      <a:avLst/>
                    </a:prstGeom>
                    <a:noFill/>
                    <a:ln>
                      <a:noFill/>
                    </a:ln>
                  </pic:spPr>
                </pic:pic>
              </a:graphicData>
            </a:graphic>
          </wp:inline>
        </w:drawing>
      </w:r>
    </w:p>
    <w:p w14:paraId="610B79B8" w14:textId="77777777" w:rsidR="00627E0B" w:rsidRDefault="00627E0B" w:rsidP="00724D32">
      <w:pPr>
        <w:pStyle w:val="NoSpacing"/>
        <w:rPr>
          <w:rFonts w:ascii="Arial" w:hAnsi="Arial" w:cs="Arial"/>
          <w:b/>
        </w:rPr>
      </w:pPr>
    </w:p>
    <w:tbl>
      <w:tblPr>
        <w:tblpPr w:leftFromText="180" w:rightFromText="180" w:horzAnchor="margin" w:tblpY="1440"/>
        <w:tblW w:w="89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28"/>
      </w:tblGrid>
      <w:tr w:rsidR="00190AC9" w:rsidRPr="00F86315" w14:paraId="6EC46ABD" w14:textId="77777777" w:rsidTr="00BF25C9">
        <w:tc>
          <w:tcPr>
            <w:tcW w:w="8928" w:type="dxa"/>
            <w:shd w:val="clear" w:color="auto" w:fill="CCFFCC"/>
          </w:tcPr>
          <w:p w14:paraId="1049801C" w14:textId="77777777" w:rsidR="00190AC9" w:rsidRPr="00F86315" w:rsidRDefault="00190AC9" w:rsidP="00190AC9">
            <w:pPr>
              <w:jc w:val="center"/>
              <w:rPr>
                <w:rFonts w:cs="Arial"/>
                <w:b/>
                <w:sz w:val="24"/>
                <w:szCs w:val="24"/>
              </w:rPr>
            </w:pPr>
            <w:r>
              <w:rPr>
                <w:rFonts w:cs="Arial"/>
                <w:b/>
                <w:sz w:val="24"/>
                <w:szCs w:val="24"/>
              </w:rPr>
              <w:t>HOUSING COMPENSATION POLICY</w:t>
            </w:r>
          </w:p>
        </w:tc>
      </w:tr>
      <w:tr w:rsidR="00190AC9" w:rsidRPr="00FD1588" w14:paraId="4A972C7B" w14:textId="77777777" w:rsidTr="00BF25C9">
        <w:tc>
          <w:tcPr>
            <w:tcW w:w="8928" w:type="dxa"/>
          </w:tcPr>
          <w:p w14:paraId="003FDA30" w14:textId="77777777" w:rsidR="00190AC9" w:rsidRPr="00FD1588" w:rsidRDefault="00190AC9" w:rsidP="00BF25C9">
            <w:pPr>
              <w:rPr>
                <w:rFonts w:cs="Arial"/>
                <w:sz w:val="24"/>
                <w:szCs w:val="24"/>
              </w:rPr>
            </w:pPr>
            <w:r w:rsidRPr="00FD1588">
              <w:rPr>
                <w:rFonts w:cs="Arial"/>
                <w:b/>
                <w:sz w:val="24"/>
                <w:szCs w:val="24"/>
              </w:rPr>
              <w:t>Area</w:t>
            </w:r>
            <w:r w:rsidRPr="00FD1588">
              <w:rPr>
                <w:rFonts w:cs="Arial"/>
                <w:sz w:val="24"/>
                <w:szCs w:val="24"/>
              </w:rPr>
              <w:t xml:space="preserve">               : </w:t>
            </w:r>
            <w:r>
              <w:rPr>
                <w:rFonts w:cs="Arial"/>
                <w:sz w:val="24"/>
                <w:szCs w:val="24"/>
              </w:rPr>
              <w:t xml:space="preserve"> Housing Service</w:t>
            </w:r>
          </w:p>
          <w:p w14:paraId="2CA20AED" w14:textId="77777777" w:rsidR="00190AC9" w:rsidRPr="00FD1588" w:rsidRDefault="00190AC9" w:rsidP="00BF25C9">
            <w:pPr>
              <w:rPr>
                <w:rFonts w:cs="Arial"/>
                <w:sz w:val="24"/>
                <w:szCs w:val="24"/>
              </w:rPr>
            </w:pPr>
            <w:r w:rsidRPr="00FD1588">
              <w:rPr>
                <w:rFonts w:cs="Arial"/>
                <w:b/>
                <w:sz w:val="24"/>
                <w:szCs w:val="24"/>
              </w:rPr>
              <w:t xml:space="preserve">Department </w:t>
            </w:r>
            <w:r w:rsidRPr="00FD1588">
              <w:rPr>
                <w:rFonts w:cs="Arial"/>
                <w:sz w:val="24"/>
                <w:szCs w:val="24"/>
              </w:rPr>
              <w:t xml:space="preserve">: </w:t>
            </w:r>
            <w:r>
              <w:rPr>
                <w:rFonts w:cs="Arial"/>
                <w:sz w:val="24"/>
                <w:szCs w:val="24"/>
              </w:rPr>
              <w:t xml:space="preserve"> Housing Commercial Services</w:t>
            </w:r>
          </w:p>
          <w:p w14:paraId="5F89F55F" w14:textId="77777777" w:rsidR="00190AC9" w:rsidRPr="00FD1588" w:rsidRDefault="00190AC9" w:rsidP="00BF25C9">
            <w:pPr>
              <w:rPr>
                <w:rFonts w:cs="Arial"/>
                <w:sz w:val="24"/>
                <w:szCs w:val="24"/>
              </w:rPr>
            </w:pPr>
            <w:r w:rsidRPr="00FD1588">
              <w:rPr>
                <w:rFonts w:cs="Arial"/>
                <w:b/>
                <w:sz w:val="24"/>
                <w:szCs w:val="24"/>
              </w:rPr>
              <w:t xml:space="preserve">Subject </w:t>
            </w:r>
            <w:r w:rsidRPr="00FD1588">
              <w:rPr>
                <w:rFonts w:cs="Arial"/>
                <w:sz w:val="24"/>
                <w:szCs w:val="24"/>
              </w:rPr>
              <w:t xml:space="preserve">         : </w:t>
            </w:r>
            <w:r>
              <w:rPr>
                <w:rFonts w:cs="Arial"/>
                <w:sz w:val="24"/>
                <w:szCs w:val="24"/>
              </w:rPr>
              <w:t>Housing Repairs and Maintenance Policy</w:t>
            </w:r>
          </w:p>
        </w:tc>
      </w:tr>
    </w:tbl>
    <w:p w14:paraId="249244E6" w14:textId="77777777" w:rsidR="001C4017" w:rsidRPr="001C4017" w:rsidRDefault="001C4017" w:rsidP="001C4017">
      <w:pPr>
        <w:spacing w:after="0"/>
        <w:rPr>
          <w:vanish/>
        </w:rPr>
      </w:pPr>
    </w:p>
    <w:tbl>
      <w:tblPr>
        <w:tblW w:w="90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894"/>
        <w:gridCol w:w="1894"/>
        <w:gridCol w:w="3249"/>
      </w:tblGrid>
      <w:tr w:rsidR="001C4017" w14:paraId="262DFB77" w14:textId="77777777" w:rsidTr="001C4017">
        <w:trPr>
          <w:trHeight w:val="702"/>
        </w:trPr>
        <w:tc>
          <w:tcPr>
            <w:tcW w:w="1985" w:type="dxa"/>
            <w:shd w:val="clear" w:color="auto" w:fill="auto"/>
          </w:tcPr>
          <w:p w14:paraId="1A69F9B5" w14:textId="77777777" w:rsidR="00190AC9" w:rsidRPr="001C4017" w:rsidRDefault="00190AC9" w:rsidP="00BF25C9">
            <w:pPr>
              <w:rPr>
                <w:rFonts w:cs="Arial"/>
                <w:b/>
                <w:sz w:val="24"/>
                <w:szCs w:val="24"/>
              </w:rPr>
            </w:pPr>
            <w:r w:rsidRPr="001C4017">
              <w:rPr>
                <w:rFonts w:cs="Arial"/>
                <w:b/>
                <w:sz w:val="24"/>
                <w:szCs w:val="24"/>
              </w:rPr>
              <w:t>Procedure Ref:</w:t>
            </w:r>
          </w:p>
        </w:tc>
        <w:tc>
          <w:tcPr>
            <w:tcW w:w="1894" w:type="dxa"/>
            <w:shd w:val="clear" w:color="auto" w:fill="auto"/>
          </w:tcPr>
          <w:p w14:paraId="6E9D5989" w14:textId="77777777" w:rsidR="00190AC9" w:rsidRPr="001C4017" w:rsidRDefault="00190AC9" w:rsidP="00BF25C9">
            <w:pPr>
              <w:rPr>
                <w:rFonts w:cs="Arial"/>
                <w:b/>
                <w:sz w:val="24"/>
                <w:szCs w:val="24"/>
              </w:rPr>
            </w:pPr>
          </w:p>
        </w:tc>
        <w:tc>
          <w:tcPr>
            <w:tcW w:w="1894" w:type="dxa"/>
            <w:shd w:val="clear" w:color="auto" w:fill="auto"/>
          </w:tcPr>
          <w:p w14:paraId="2580D33C" w14:textId="77777777" w:rsidR="00190AC9" w:rsidRPr="001C4017" w:rsidRDefault="00190AC9" w:rsidP="00BF25C9">
            <w:pPr>
              <w:rPr>
                <w:rFonts w:cs="Arial"/>
                <w:b/>
                <w:sz w:val="24"/>
                <w:szCs w:val="24"/>
              </w:rPr>
            </w:pPr>
            <w:r w:rsidRPr="001C4017">
              <w:rPr>
                <w:rFonts w:cs="Arial"/>
                <w:b/>
                <w:sz w:val="24"/>
                <w:szCs w:val="24"/>
              </w:rPr>
              <w:t>Owner</w:t>
            </w:r>
            <w:r w:rsidRPr="001C4017">
              <w:rPr>
                <w:rFonts w:cs="Arial"/>
                <w:sz w:val="24"/>
                <w:szCs w:val="24"/>
              </w:rPr>
              <w:t>:</w:t>
            </w:r>
            <w:r w:rsidR="001462A1">
              <w:rPr>
                <w:rFonts w:cs="Arial"/>
                <w:sz w:val="24"/>
                <w:szCs w:val="24"/>
              </w:rPr>
              <w:t xml:space="preserve"> </w:t>
            </w:r>
            <w:r w:rsidR="001462A1" w:rsidRPr="001462A1">
              <w:rPr>
                <w:rFonts w:cs="Arial"/>
                <w:b/>
                <w:bCs/>
                <w:sz w:val="24"/>
                <w:szCs w:val="24"/>
              </w:rPr>
              <w:t>R Bartholomew</w:t>
            </w:r>
          </w:p>
        </w:tc>
        <w:tc>
          <w:tcPr>
            <w:tcW w:w="3249" w:type="dxa"/>
            <w:shd w:val="clear" w:color="auto" w:fill="auto"/>
          </w:tcPr>
          <w:p w14:paraId="5A345F04" w14:textId="77777777" w:rsidR="00190AC9" w:rsidRPr="001C4017" w:rsidRDefault="00190AC9" w:rsidP="00190AC9">
            <w:pPr>
              <w:rPr>
                <w:rFonts w:cs="Arial"/>
                <w:b/>
                <w:sz w:val="24"/>
                <w:szCs w:val="24"/>
              </w:rPr>
            </w:pPr>
            <w:r w:rsidRPr="001C4017">
              <w:rPr>
                <w:rFonts w:cs="Arial"/>
                <w:b/>
                <w:sz w:val="24"/>
                <w:szCs w:val="24"/>
              </w:rPr>
              <w:t xml:space="preserve">Housing </w:t>
            </w:r>
            <w:r w:rsidR="001462A1">
              <w:rPr>
                <w:rFonts w:cs="Arial"/>
                <w:b/>
                <w:sz w:val="24"/>
                <w:szCs w:val="24"/>
              </w:rPr>
              <w:t>Support Services</w:t>
            </w:r>
            <w:r w:rsidRPr="001C4017">
              <w:rPr>
                <w:rFonts w:cs="Arial"/>
                <w:b/>
                <w:sz w:val="24"/>
                <w:szCs w:val="24"/>
              </w:rPr>
              <w:t xml:space="preserve"> Team Manager</w:t>
            </w:r>
          </w:p>
        </w:tc>
      </w:tr>
      <w:tr w:rsidR="001C4017" w14:paraId="6C5214FB" w14:textId="77777777" w:rsidTr="001C4017">
        <w:trPr>
          <w:trHeight w:val="232"/>
        </w:trPr>
        <w:tc>
          <w:tcPr>
            <w:tcW w:w="1985" w:type="dxa"/>
            <w:shd w:val="clear" w:color="auto" w:fill="auto"/>
          </w:tcPr>
          <w:p w14:paraId="4D14C3FE" w14:textId="77777777" w:rsidR="00190AC9" w:rsidRPr="001C4017" w:rsidRDefault="00190AC9" w:rsidP="00BF25C9">
            <w:pPr>
              <w:rPr>
                <w:rFonts w:cs="Arial"/>
                <w:b/>
                <w:sz w:val="24"/>
                <w:szCs w:val="24"/>
              </w:rPr>
            </w:pPr>
            <w:r w:rsidRPr="001C4017">
              <w:rPr>
                <w:rFonts w:cs="Arial"/>
                <w:b/>
                <w:sz w:val="24"/>
                <w:szCs w:val="24"/>
              </w:rPr>
              <w:t>Date approved:</w:t>
            </w:r>
          </w:p>
        </w:tc>
        <w:tc>
          <w:tcPr>
            <w:tcW w:w="1894" w:type="dxa"/>
            <w:shd w:val="clear" w:color="auto" w:fill="auto"/>
          </w:tcPr>
          <w:p w14:paraId="30AFD738" w14:textId="77777777" w:rsidR="00190AC9" w:rsidRPr="001C4017" w:rsidRDefault="00190AC9" w:rsidP="00BF25C9">
            <w:pPr>
              <w:rPr>
                <w:rFonts w:cs="Arial"/>
                <w:b/>
                <w:sz w:val="24"/>
                <w:szCs w:val="24"/>
              </w:rPr>
            </w:pPr>
          </w:p>
        </w:tc>
        <w:tc>
          <w:tcPr>
            <w:tcW w:w="1894" w:type="dxa"/>
            <w:shd w:val="clear" w:color="auto" w:fill="auto"/>
          </w:tcPr>
          <w:p w14:paraId="64E0410E" w14:textId="77777777" w:rsidR="00190AC9" w:rsidRPr="001C4017" w:rsidRDefault="00190AC9" w:rsidP="00BF25C9">
            <w:pPr>
              <w:rPr>
                <w:rFonts w:cs="Arial"/>
                <w:b/>
                <w:sz w:val="24"/>
                <w:szCs w:val="24"/>
              </w:rPr>
            </w:pPr>
            <w:r w:rsidRPr="001C4017">
              <w:rPr>
                <w:rFonts w:cs="Arial"/>
                <w:b/>
                <w:sz w:val="24"/>
                <w:szCs w:val="24"/>
              </w:rPr>
              <w:t>Effective date:</w:t>
            </w:r>
          </w:p>
        </w:tc>
        <w:tc>
          <w:tcPr>
            <w:tcW w:w="3249" w:type="dxa"/>
            <w:shd w:val="clear" w:color="auto" w:fill="auto"/>
          </w:tcPr>
          <w:p w14:paraId="0A2C9B65" w14:textId="77777777" w:rsidR="00190AC9" w:rsidRPr="001C4017" w:rsidRDefault="00190AC9" w:rsidP="00BF25C9">
            <w:pPr>
              <w:rPr>
                <w:rFonts w:cs="Arial"/>
                <w:b/>
                <w:sz w:val="24"/>
                <w:szCs w:val="24"/>
              </w:rPr>
            </w:pPr>
          </w:p>
        </w:tc>
      </w:tr>
    </w:tbl>
    <w:p w14:paraId="23FBD03B" w14:textId="77777777" w:rsidR="00190AC9" w:rsidRDefault="00190AC9" w:rsidP="00724D32">
      <w:pPr>
        <w:pStyle w:val="NoSpacing"/>
        <w:rPr>
          <w:rFonts w:ascii="Arial" w:hAnsi="Arial" w:cs="Arial"/>
          <w:b/>
        </w:rPr>
      </w:pPr>
    </w:p>
    <w:p w14:paraId="0E702268" w14:textId="77777777" w:rsidR="00190AC9" w:rsidRPr="00F86315" w:rsidRDefault="00190AC9" w:rsidP="00190AC9">
      <w:pPr>
        <w:rPr>
          <w:rFonts w:cs="Arial"/>
          <w:sz w:val="24"/>
          <w:szCs w:val="24"/>
        </w:rPr>
      </w:pPr>
      <w:r w:rsidRPr="00F86315">
        <w:rPr>
          <w:rFonts w:cs="Arial"/>
          <w:sz w:val="24"/>
          <w:szCs w:val="24"/>
        </w:rPr>
        <w:t xml:space="preserve">Please state what </w:t>
      </w:r>
      <w:r>
        <w:rPr>
          <w:rFonts w:cs="Arial"/>
          <w:sz w:val="24"/>
          <w:szCs w:val="24"/>
        </w:rPr>
        <w:t>policies and strategies</w:t>
      </w:r>
      <w:r w:rsidRPr="00F86315">
        <w:rPr>
          <w:rFonts w:cs="Arial"/>
          <w:sz w:val="24"/>
          <w:szCs w:val="24"/>
        </w:rPr>
        <w:t xml:space="preserve"> (if any) this</w:t>
      </w:r>
      <w:r>
        <w:rPr>
          <w:rFonts w:cs="Arial"/>
          <w:sz w:val="24"/>
          <w:szCs w:val="24"/>
        </w:rPr>
        <w:t xml:space="preserve"> policy</w:t>
      </w:r>
      <w:r w:rsidRPr="00F86315">
        <w:rPr>
          <w:rFonts w:cs="Arial"/>
          <w:sz w:val="24"/>
          <w:szCs w:val="24"/>
        </w:rPr>
        <w:t xml:space="preserve"> is linked to</w:t>
      </w:r>
      <w:r w:rsidR="004F6AE0">
        <w:rPr>
          <w:rFonts w:cs="Arial"/>
          <w:sz w:val="24"/>
          <w:szCs w:val="24"/>
        </w:rPr>
        <w:t>.  A</w:t>
      </w:r>
      <w:r>
        <w:rPr>
          <w:rFonts w:cs="Arial"/>
          <w:sz w:val="24"/>
          <w:szCs w:val="24"/>
        </w:rPr>
        <w:t xml:space="preserve"> list of policies and procedures can be found at</w:t>
      </w:r>
      <w:r w:rsidRPr="000F3049">
        <w:t xml:space="preserve"> </w:t>
      </w:r>
      <w:hyperlink r:id="rId12" w:history="1">
        <w:r w:rsidRPr="000F3049">
          <w:rPr>
            <w:rStyle w:val="Hyperlink"/>
          </w:rPr>
          <w:t>policies and strategies</w:t>
        </w:r>
      </w:hyperlink>
    </w:p>
    <w:p w14:paraId="7EE4A161" w14:textId="77777777" w:rsidR="00C44C69" w:rsidRPr="00190AC9" w:rsidRDefault="001462A1" w:rsidP="00190AC9">
      <w:pPr>
        <w:rPr>
          <w:rFonts w:cs="Arial"/>
          <w:b/>
          <w:sz w:val="24"/>
          <w:szCs w:val="24"/>
        </w:rPr>
      </w:pPr>
      <w:r>
        <w:rPr>
          <w:rFonts w:cs="Arial"/>
          <w:b/>
          <w:sz w:val="24"/>
          <w:szCs w:val="24"/>
        </w:rPr>
        <w:t>L</w:t>
      </w:r>
      <w:r w:rsidR="00190AC9">
        <w:rPr>
          <w:rFonts w:cs="Arial"/>
          <w:b/>
          <w:sz w:val="24"/>
          <w:szCs w:val="24"/>
        </w:rPr>
        <w:t>inked to</w:t>
      </w:r>
      <w:r>
        <w:rPr>
          <w:rFonts w:cs="Arial"/>
          <w:b/>
          <w:sz w:val="24"/>
          <w:szCs w:val="24"/>
        </w:rPr>
        <w:t xml:space="preserve">: - </w:t>
      </w:r>
    </w:p>
    <w:p w14:paraId="24100FE2" w14:textId="77777777" w:rsidR="00C44C69" w:rsidRPr="001C4017" w:rsidRDefault="00F54EF6" w:rsidP="00724D32">
      <w:pPr>
        <w:pStyle w:val="NoSpacing"/>
        <w:numPr>
          <w:ilvl w:val="0"/>
          <w:numId w:val="13"/>
        </w:numPr>
        <w:rPr>
          <w:rFonts w:cs="Calibri"/>
        </w:rPr>
      </w:pPr>
      <w:r w:rsidRPr="001C4017">
        <w:rPr>
          <w:rFonts w:cs="Calibri"/>
        </w:rPr>
        <w:t xml:space="preserve">Repairs </w:t>
      </w:r>
      <w:r w:rsidR="00724D32" w:rsidRPr="001C4017">
        <w:rPr>
          <w:rFonts w:cs="Calibri"/>
        </w:rPr>
        <w:t>handbook</w:t>
      </w:r>
    </w:p>
    <w:p w14:paraId="173E1E81" w14:textId="77777777" w:rsidR="00F54EF6" w:rsidRPr="001C4017" w:rsidRDefault="00F54EF6" w:rsidP="00724D32">
      <w:pPr>
        <w:pStyle w:val="NoSpacing"/>
        <w:numPr>
          <w:ilvl w:val="0"/>
          <w:numId w:val="13"/>
        </w:numPr>
        <w:rPr>
          <w:rFonts w:cs="Calibri"/>
        </w:rPr>
      </w:pPr>
      <w:r w:rsidRPr="001C4017">
        <w:rPr>
          <w:rFonts w:cs="Calibri"/>
        </w:rPr>
        <w:t>Decant Policy</w:t>
      </w:r>
    </w:p>
    <w:p w14:paraId="452506B1" w14:textId="77777777" w:rsidR="00724D32" w:rsidRPr="001C4017" w:rsidRDefault="00724D32" w:rsidP="00724D32">
      <w:pPr>
        <w:pStyle w:val="NoSpacing"/>
        <w:numPr>
          <w:ilvl w:val="0"/>
          <w:numId w:val="13"/>
        </w:numPr>
        <w:rPr>
          <w:rFonts w:cs="Calibri"/>
        </w:rPr>
      </w:pPr>
      <w:r w:rsidRPr="001C4017">
        <w:rPr>
          <w:rFonts w:cs="Calibri"/>
        </w:rPr>
        <w:t xml:space="preserve">Corporate </w:t>
      </w:r>
      <w:r w:rsidR="001C5D01" w:rsidRPr="001C4017">
        <w:rPr>
          <w:rFonts w:cs="Calibri"/>
        </w:rPr>
        <w:t>C</w:t>
      </w:r>
      <w:r w:rsidRPr="001C4017">
        <w:rPr>
          <w:rFonts w:cs="Calibri"/>
        </w:rPr>
        <w:t>omplaints Policy</w:t>
      </w:r>
    </w:p>
    <w:p w14:paraId="387E873F" w14:textId="77777777" w:rsidR="00724D32" w:rsidRPr="00724D32" w:rsidRDefault="00724D32" w:rsidP="00724D32">
      <w:pPr>
        <w:pStyle w:val="NoSpacing"/>
        <w:rPr>
          <w:rFonts w:ascii="Arial" w:hAnsi="Arial" w:cs="Arial"/>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085"/>
        <w:gridCol w:w="1073"/>
        <w:gridCol w:w="3249"/>
        <w:gridCol w:w="1721"/>
        <w:gridCol w:w="1574"/>
        <w:gridCol w:w="1916"/>
      </w:tblGrid>
      <w:tr w:rsidR="00C44C69" w:rsidRPr="00724D32" w14:paraId="3444ADC2" w14:textId="77777777" w:rsidTr="0082722E">
        <w:tc>
          <w:tcPr>
            <w:tcW w:w="1085" w:type="dxa"/>
            <w:shd w:val="clear" w:color="auto" w:fill="CCFFCC"/>
          </w:tcPr>
          <w:p w14:paraId="691758A5" w14:textId="77777777" w:rsidR="00C44C69" w:rsidRPr="00724D32" w:rsidRDefault="00C44C69" w:rsidP="00724D32">
            <w:pPr>
              <w:pStyle w:val="NoSpacing"/>
              <w:rPr>
                <w:rFonts w:ascii="Arial" w:hAnsi="Arial" w:cs="Arial"/>
              </w:rPr>
            </w:pPr>
            <w:r w:rsidRPr="00724D32">
              <w:rPr>
                <w:rFonts w:ascii="Arial" w:hAnsi="Arial" w:cs="Arial"/>
              </w:rPr>
              <w:t>Version</w:t>
            </w:r>
          </w:p>
        </w:tc>
        <w:tc>
          <w:tcPr>
            <w:tcW w:w="1073" w:type="dxa"/>
            <w:shd w:val="clear" w:color="auto" w:fill="CCFFCC"/>
          </w:tcPr>
          <w:p w14:paraId="3FB0AD33" w14:textId="77777777" w:rsidR="00C44C69" w:rsidRPr="00724D32" w:rsidRDefault="00C44C69" w:rsidP="00724D32">
            <w:pPr>
              <w:pStyle w:val="NoSpacing"/>
              <w:rPr>
                <w:rFonts w:ascii="Arial" w:hAnsi="Arial" w:cs="Arial"/>
              </w:rPr>
            </w:pPr>
            <w:r w:rsidRPr="00724D32">
              <w:rPr>
                <w:rFonts w:ascii="Arial" w:hAnsi="Arial" w:cs="Arial"/>
              </w:rPr>
              <w:t>Date</w:t>
            </w:r>
          </w:p>
        </w:tc>
        <w:tc>
          <w:tcPr>
            <w:tcW w:w="3249" w:type="dxa"/>
            <w:shd w:val="clear" w:color="auto" w:fill="CCFFCC"/>
          </w:tcPr>
          <w:p w14:paraId="77F14FA5" w14:textId="77777777" w:rsidR="00C44C69" w:rsidRPr="00724D32" w:rsidRDefault="00C44C69" w:rsidP="00724D32">
            <w:pPr>
              <w:pStyle w:val="NoSpacing"/>
              <w:rPr>
                <w:rFonts w:ascii="Arial" w:hAnsi="Arial" w:cs="Arial"/>
              </w:rPr>
            </w:pPr>
            <w:r w:rsidRPr="00724D32">
              <w:rPr>
                <w:rFonts w:ascii="Arial" w:hAnsi="Arial" w:cs="Arial"/>
              </w:rPr>
              <w:t>Details of amendment</w:t>
            </w:r>
          </w:p>
        </w:tc>
        <w:tc>
          <w:tcPr>
            <w:tcW w:w="1721" w:type="dxa"/>
            <w:shd w:val="clear" w:color="auto" w:fill="CCFFCC"/>
          </w:tcPr>
          <w:p w14:paraId="7F897023" w14:textId="77777777" w:rsidR="00C44C69" w:rsidRPr="00724D32" w:rsidRDefault="00C44C69" w:rsidP="00724D32">
            <w:pPr>
              <w:pStyle w:val="NoSpacing"/>
              <w:rPr>
                <w:rFonts w:ascii="Arial" w:hAnsi="Arial" w:cs="Arial"/>
              </w:rPr>
            </w:pPr>
            <w:r w:rsidRPr="00724D32">
              <w:rPr>
                <w:rFonts w:ascii="Arial" w:hAnsi="Arial" w:cs="Arial"/>
              </w:rPr>
              <w:t>Creator/</w:t>
            </w:r>
          </w:p>
          <w:p w14:paraId="569FF104" w14:textId="77777777" w:rsidR="00C44C69" w:rsidRPr="00724D32" w:rsidRDefault="00C44C69" w:rsidP="00724D32">
            <w:pPr>
              <w:pStyle w:val="NoSpacing"/>
              <w:rPr>
                <w:rFonts w:ascii="Arial" w:hAnsi="Arial" w:cs="Arial"/>
              </w:rPr>
            </w:pPr>
            <w:r w:rsidRPr="00724D32">
              <w:rPr>
                <w:rFonts w:ascii="Arial" w:hAnsi="Arial" w:cs="Arial"/>
              </w:rPr>
              <w:t>amender</w:t>
            </w:r>
          </w:p>
        </w:tc>
        <w:tc>
          <w:tcPr>
            <w:tcW w:w="1574" w:type="dxa"/>
            <w:shd w:val="clear" w:color="auto" w:fill="CCFFCC"/>
          </w:tcPr>
          <w:p w14:paraId="50EDFB7F" w14:textId="77777777" w:rsidR="00C44C69" w:rsidRPr="00724D32" w:rsidRDefault="00C44C69" w:rsidP="00724D32">
            <w:pPr>
              <w:pStyle w:val="NoSpacing"/>
              <w:rPr>
                <w:rFonts w:ascii="Arial" w:hAnsi="Arial" w:cs="Arial"/>
              </w:rPr>
            </w:pPr>
            <w:r w:rsidRPr="00724D32">
              <w:rPr>
                <w:rFonts w:ascii="Arial" w:hAnsi="Arial" w:cs="Arial"/>
              </w:rPr>
              <w:t>Approved by</w:t>
            </w:r>
          </w:p>
        </w:tc>
        <w:tc>
          <w:tcPr>
            <w:tcW w:w="1916" w:type="dxa"/>
            <w:shd w:val="clear" w:color="auto" w:fill="CCFFCC"/>
          </w:tcPr>
          <w:p w14:paraId="54D61732" w14:textId="77777777" w:rsidR="00C44C69" w:rsidRPr="00724D32" w:rsidRDefault="00C44C69" w:rsidP="00724D32">
            <w:pPr>
              <w:pStyle w:val="NoSpacing"/>
              <w:rPr>
                <w:rFonts w:ascii="Arial" w:hAnsi="Arial" w:cs="Arial"/>
              </w:rPr>
            </w:pPr>
            <w:r w:rsidRPr="00724D32">
              <w:rPr>
                <w:rFonts w:ascii="Arial" w:hAnsi="Arial" w:cs="Arial"/>
              </w:rPr>
              <w:t>Next review due</w:t>
            </w:r>
          </w:p>
        </w:tc>
      </w:tr>
      <w:tr w:rsidR="00C44C69" w:rsidRPr="00724D32" w14:paraId="4A4B32C3" w14:textId="77777777" w:rsidTr="000B3C4B">
        <w:tc>
          <w:tcPr>
            <w:tcW w:w="1085" w:type="dxa"/>
          </w:tcPr>
          <w:p w14:paraId="49CAC816" w14:textId="77777777" w:rsidR="00C44C69" w:rsidRPr="005832BD" w:rsidRDefault="00C44C69" w:rsidP="00724D32">
            <w:pPr>
              <w:pStyle w:val="NoSpacing"/>
              <w:rPr>
                <w:rFonts w:cs="Calibri"/>
              </w:rPr>
            </w:pPr>
            <w:r w:rsidRPr="005832BD">
              <w:rPr>
                <w:rFonts w:cs="Calibri"/>
              </w:rPr>
              <w:t>1</w:t>
            </w:r>
          </w:p>
        </w:tc>
        <w:tc>
          <w:tcPr>
            <w:tcW w:w="1073" w:type="dxa"/>
          </w:tcPr>
          <w:p w14:paraId="036AE151" w14:textId="77777777" w:rsidR="00C44C69" w:rsidRPr="005832BD" w:rsidRDefault="00F54EF6" w:rsidP="00724D32">
            <w:pPr>
              <w:pStyle w:val="NoSpacing"/>
              <w:rPr>
                <w:rFonts w:cs="Calibri"/>
              </w:rPr>
            </w:pPr>
            <w:r w:rsidRPr="005832BD">
              <w:rPr>
                <w:rFonts w:cs="Calibri"/>
              </w:rPr>
              <w:t>7.6.16</w:t>
            </w:r>
          </w:p>
        </w:tc>
        <w:tc>
          <w:tcPr>
            <w:tcW w:w="3249" w:type="dxa"/>
            <w:vAlign w:val="center"/>
          </w:tcPr>
          <w:p w14:paraId="3652946D" w14:textId="77777777" w:rsidR="00F54EF6" w:rsidRPr="005832BD" w:rsidRDefault="00F54EF6" w:rsidP="000B3C4B">
            <w:pPr>
              <w:pStyle w:val="NoSpacing"/>
              <w:rPr>
                <w:rFonts w:cs="Calibri"/>
              </w:rPr>
            </w:pPr>
            <w:r w:rsidRPr="005832BD">
              <w:rPr>
                <w:rFonts w:cs="Calibri"/>
              </w:rPr>
              <w:t xml:space="preserve">Clarity on amount of compensation for Heating and </w:t>
            </w:r>
            <w:r w:rsidR="001C5D01" w:rsidRPr="005832BD">
              <w:rPr>
                <w:rFonts w:cs="Calibri"/>
              </w:rPr>
              <w:t>H</w:t>
            </w:r>
            <w:r w:rsidRPr="005832BD">
              <w:rPr>
                <w:rFonts w:cs="Calibri"/>
              </w:rPr>
              <w:t>ot Water</w:t>
            </w:r>
            <w:r w:rsidR="00724D32" w:rsidRPr="005832BD">
              <w:rPr>
                <w:rFonts w:cs="Calibri"/>
              </w:rPr>
              <w:br/>
            </w:r>
          </w:p>
          <w:p w14:paraId="1914F5B0" w14:textId="77777777" w:rsidR="00F54EF6" w:rsidRPr="005832BD" w:rsidRDefault="00F54EF6" w:rsidP="000B3C4B">
            <w:pPr>
              <w:pStyle w:val="NoSpacing"/>
              <w:rPr>
                <w:rFonts w:cs="Calibri"/>
              </w:rPr>
            </w:pPr>
            <w:r w:rsidRPr="005832BD">
              <w:rPr>
                <w:rFonts w:cs="Calibri"/>
              </w:rPr>
              <w:t>Add disturbance payment information</w:t>
            </w:r>
            <w:r w:rsidR="00724D32" w:rsidRPr="005832BD">
              <w:rPr>
                <w:rFonts w:cs="Calibri"/>
              </w:rPr>
              <w:br/>
            </w:r>
          </w:p>
          <w:p w14:paraId="3BD1C888" w14:textId="7383F311" w:rsidR="00C44C69" w:rsidRPr="005832BD" w:rsidRDefault="00F54EF6" w:rsidP="000B3C4B">
            <w:pPr>
              <w:pStyle w:val="NoSpacing"/>
              <w:rPr>
                <w:rFonts w:cs="Calibri"/>
              </w:rPr>
            </w:pPr>
            <w:r w:rsidRPr="005832BD">
              <w:rPr>
                <w:rFonts w:cs="Calibri"/>
              </w:rPr>
              <w:t>Clarity on calendar/working days</w:t>
            </w:r>
          </w:p>
        </w:tc>
        <w:tc>
          <w:tcPr>
            <w:tcW w:w="1721" w:type="dxa"/>
          </w:tcPr>
          <w:p w14:paraId="7A06E2DE" w14:textId="77777777" w:rsidR="00C44C69" w:rsidRPr="005832BD" w:rsidRDefault="00F54EF6" w:rsidP="00724D32">
            <w:pPr>
              <w:pStyle w:val="NoSpacing"/>
              <w:rPr>
                <w:rFonts w:cs="Calibri"/>
              </w:rPr>
            </w:pPr>
            <w:r w:rsidRPr="005832BD">
              <w:rPr>
                <w:rFonts w:cs="Calibri"/>
              </w:rPr>
              <w:t>Mark Johnson</w:t>
            </w:r>
          </w:p>
        </w:tc>
        <w:tc>
          <w:tcPr>
            <w:tcW w:w="1574" w:type="dxa"/>
          </w:tcPr>
          <w:p w14:paraId="753A5A34" w14:textId="77777777" w:rsidR="00C44C69" w:rsidRPr="005832BD" w:rsidRDefault="00F54EF6" w:rsidP="00724D32">
            <w:pPr>
              <w:pStyle w:val="NoSpacing"/>
              <w:rPr>
                <w:rFonts w:cs="Calibri"/>
              </w:rPr>
            </w:pPr>
            <w:r w:rsidRPr="005832BD">
              <w:rPr>
                <w:rFonts w:cs="Calibri"/>
              </w:rPr>
              <w:t>SMT</w:t>
            </w:r>
          </w:p>
        </w:tc>
        <w:tc>
          <w:tcPr>
            <w:tcW w:w="1916" w:type="dxa"/>
          </w:tcPr>
          <w:p w14:paraId="5AA36AF6" w14:textId="77777777" w:rsidR="00C44C69" w:rsidRPr="005832BD" w:rsidRDefault="00F54EF6" w:rsidP="00724D32">
            <w:pPr>
              <w:pStyle w:val="NoSpacing"/>
              <w:rPr>
                <w:rFonts w:cs="Calibri"/>
              </w:rPr>
            </w:pPr>
            <w:r w:rsidRPr="005832BD">
              <w:rPr>
                <w:rFonts w:cs="Calibri"/>
              </w:rPr>
              <w:t>TBC</w:t>
            </w:r>
          </w:p>
        </w:tc>
      </w:tr>
      <w:tr w:rsidR="00C44C69" w:rsidRPr="00724D32" w14:paraId="6C032A0B" w14:textId="77777777" w:rsidTr="000B3C4B">
        <w:tc>
          <w:tcPr>
            <w:tcW w:w="1085" w:type="dxa"/>
          </w:tcPr>
          <w:p w14:paraId="41E7430C" w14:textId="77777777" w:rsidR="00C44C69" w:rsidRPr="005832BD" w:rsidRDefault="00724D32" w:rsidP="00724D32">
            <w:pPr>
              <w:pStyle w:val="NoSpacing"/>
              <w:rPr>
                <w:rFonts w:cs="Calibri"/>
              </w:rPr>
            </w:pPr>
            <w:r w:rsidRPr="005832BD">
              <w:rPr>
                <w:rFonts w:cs="Calibri"/>
              </w:rPr>
              <w:t>2</w:t>
            </w:r>
          </w:p>
        </w:tc>
        <w:tc>
          <w:tcPr>
            <w:tcW w:w="1073" w:type="dxa"/>
          </w:tcPr>
          <w:p w14:paraId="600405E3" w14:textId="77777777" w:rsidR="00C44C69" w:rsidRPr="005832BD" w:rsidRDefault="00724D32" w:rsidP="00724D32">
            <w:pPr>
              <w:pStyle w:val="NoSpacing"/>
              <w:rPr>
                <w:rFonts w:cs="Calibri"/>
              </w:rPr>
            </w:pPr>
            <w:r w:rsidRPr="005832BD">
              <w:rPr>
                <w:rFonts w:cs="Calibri"/>
              </w:rPr>
              <w:t>26.7.16</w:t>
            </w:r>
          </w:p>
        </w:tc>
        <w:tc>
          <w:tcPr>
            <w:tcW w:w="3249" w:type="dxa"/>
            <w:vAlign w:val="center"/>
          </w:tcPr>
          <w:p w14:paraId="1562D033" w14:textId="77777777" w:rsidR="00C44C69" w:rsidRPr="005832BD" w:rsidRDefault="00724D32" w:rsidP="000B3C4B">
            <w:pPr>
              <w:pStyle w:val="NoSpacing"/>
              <w:rPr>
                <w:rFonts w:cs="Calibri"/>
              </w:rPr>
            </w:pPr>
            <w:r w:rsidRPr="005832BD">
              <w:rPr>
                <w:rFonts w:cs="Calibri"/>
              </w:rPr>
              <w:t>Remove link to Repairs policy</w:t>
            </w:r>
            <w:r w:rsidRPr="005832BD">
              <w:rPr>
                <w:rFonts w:cs="Calibri"/>
              </w:rPr>
              <w:br/>
            </w:r>
          </w:p>
          <w:p w14:paraId="0AD9FC3D" w14:textId="77777777" w:rsidR="00724D32" w:rsidRPr="005832BD" w:rsidRDefault="00724D32" w:rsidP="000B3C4B">
            <w:pPr>
              <w:pStyle w:val="NoSpacing"/>
              <w:rPr>
                <w:rFonts w:cs="Calibri"/>
              </w:rPr>
            </w:pPr>
            <w:r w:rsidRPr="005832BD">
              <w:rPr>
                <w:rFonts w:cs="Calibri"/>
              </w:rPr>
              <w:t>Add link to Repairs handbook</w:t>
            </w:r>
            <w:r w:rsidRPr="005832BD">
              <w:rPr>
                <w:rFonts w:cs="Calibri"/>
              </w:rPr>
              <w:br/>
            </w:r>
          </w:p>
          <w:p w14:paraId="67AE5D1D" w14:textId="77777777" w:rsidR="00724D32" w:rsidRPr="005832BD" w:rsidRDefault="00724D32" w:rsidP="000B3C4B">
            <w:pPr>
              <w:pStyle w:val="NoSpacing"/>
              <w:rPr>
                <w:rFonts w:cs="Calibri"/>
              </w:rPr>
            </w:pPr>
            <w:r w:rsidRPr="005832BD">
              <w:rPr>
                <w:rFonts w:cs="Calibri"/>
              </w:rPr>
              <w:t>Add link to Complaints policy</w:t>
            </w:r>
            <w:r w:rsidRPr="005832BD">
              <w:rPr>
                <w:rFonts w:cs="Calibri"/>
              </w:rPr>
              <w:br/>
            </w:r>
          </w:p>
          <w:p w14:paraId="27372124" w14:textId="77777777" w:rsidR="00724D32" w:rsidRPr="005832BD" w:rsidRDefault="00724D32" w:rsidP="000B3C4B">
            <w:pPr>
              <w:pStyle w:val="NoSpacing"/>
              <w:rPr>
                <w:rFonts w:cs="Calibri"/>
              </w:rPr>
            </w:pPr>
            <w:r w:rsidRPr="005832BD">
              <w:rPr>
                <w:rFonts w:cs="Calibri"/>
              </w:rPr>
              <w:t>Remove links to flowcharts</w:t>
            </w:r>
          </w:p>
        </w:tc>
        <w:tc>
          <w:tcPr>
            <w:tcW w:w="1721" w:type="dxa"/>
          </w:tcPr>
          <w:p w14:paraId="08FF225F" w14:textId="77777777" w:rsidR="00C44C69" w:rsidRPr="005832BD" w:rsidRDefault="00724D32" w:rsidP="00724D32">
            <w:pPr>
              <w:pStyle w:val="NoSpacing"/>
              <w:rPr>
                <w:rFonts w:cs="Calibri"/>
              </w:rPr>
            </w:pPr>
            <w:r w:rsidRPr="005832BD">
              <w:rPr>
                <w:rFonts w:cs="Calibri"/>
              </w:rPr>
              <w:t>Mark Johnson</w:t>
            </w:r>
          </w:p>
        </w:tc>
        <w:tc>
          <w:tcPr>
            <w:tcW w:w="1574" w:type="dxa"/>
          </w:tcPr>
          <w:p w14:paraId="3ED64425" w14:textId="77777777" w:rsidR="00C44C69" w:rsidRPr="005832BD" w:rsidRDefault="00724D32" w:rsidP="00724D32">
            <w:pPr>
              <w:pStyle w:val="NoSpacing"/>
              <w:rPr>
                <w:rFonts w:cs="Calibri"/>
              </w:rPr>
            </w:pPr>
            <w:r w:rsidRPr="005832BD">
              <w:rPr>
                <w:rFonts w:cs="Calibri"/>
              </w:rPr>
              <w:t>SMT</w:t>
            </w:r>
          </w:p>
        </w:tc>
        <w:tc>
          <w:tcPr>
            <w:tcW w:w="1916" w:type="dxa"/>
          </w:tcPr>
          <w:p w14:paraId="3D010AAB" w14:textId="77777777" w:rsidR="00C44C69" w:rsidRPr="005832BD" w:rsidRDefault="00724D32" w:rsidP="00724D32">
            <w:pPr>
              <w:pStyle w:val="NoSpacing"/>
              <w:rPr>
                <w:rFonts w:cs="Calibri"/>
              </w:rPr>
            </w:pPr>
            <w:r w:rsidRPr="005832BD">
              <w:rPr>
                <w:rFonts w:cs="Calibri"/>
              </w:rPr>
              <w:t>TBC</w:t>
            </w:r>
          </w:p>
        </w:tc>
      </w:tr>
      <w:tr w:rsidR="00190AC9" w:rsidRPr="00724D32" w14:paraId="587F2C6F" w14:textId="77777777" w:rsidTr="000B3C4B">
        <w:tc>
          <w:tcPr>
            <w:tcW w:w="1085" w:type="dxa"/>
          </w:tcPr>
          <w:p w14:paraId="5070E5BA" w14:textId="77777777" w:rsidR="00190AC9" w:rsidRPr="005832BD" w:rsidRDefault="00190AC9" w:rsidP="00724D32">
            <w:pPr>
              <w:pStyle w:val="NoSpacing"/>
              <w:rPr>
                <w:rFonts w:cs="Calibri"/>
              </w:rPr>
            </w:pPr>
            <w:r w:rsidRPr="005832BD">
              <w:rPr>
                <w:rFonts w:cs="Calibri"/>
              </w:rPr>
              <w:lastRenderedPageBreak/>
              <w:t>3</w:t>
            </w:r>
          </w:p>
        </w:tc>
        <w:tc>
          <w:tcPr>
            <w:tcW w:w="1073" w:type="dxa"/>
          </w:tcPr>
          <w:p w14:paraId="1629E29F" w14:textId="77777777" w:rsidR="00190AC9" w:rsidRPr="005832BD" w:rsidRDefault="00B94E0C" w:rsidP="00724D32">
            <w:pPr>
              <w:pStyle w:val="NoSpacing"/>
              <w:rPr>
                <w:rFonts w:cs="Calibri"/>
              </w:rPr>
            </w:pPr>
            <w:r w:rsidRPr="005832BD">
              <w:rPr>
                <w:rFonts w:cs="Calibri"/>
              </w:rPr>
              <w:t>01.11</w:t>
            </w:r>
            <w:r w:rsidR="00190AC9" w:rsidRPr="005832BD">
              <w:rPr>
                <w:rFonts w:cs="Calibri"/>
              </w:rPr>
              <w:t>.20</w:t>
            </w:r>
          </w:p>
        </w:tc>
        <w:tc>
          <w:tcPr>
            <w:tcW w:w="3249" w:type="dxa"/>
            <w:vAlign w:val="center"/>
          </w:tcPr>
          <w:p w14:paraId="5FE79D44" w14:textId="77777777" w:rsidR="00190AC9" w:rsidRPr="005832BD" w:rsidRDefault="00190AC9" w:rsidP="000B3C4B">
            <w:pPr>
              <w:pStyle w:val="NoSpacing"/>
              <w:rPr>
                <w:rFonts w:cs="Calibri"/>
              </w:rPr>
            </w:pPr>
            <w:r w:rsidRPr="005832BD">
              <w:rPr>
                <w:rFonts w:cs="Calibri"/>
              </w:rPr>
              <w:t>Updated section 3.3 and 3.6 following new Repairs and Maintenance Policy.</w:t>
            </w:r>
          </w:p>
          <w:p w14:paraId="538919AF" w14:textId="77777777" w:rsidR="00190AC9" w:rsidRPr="005832BD" w:rsidRDefault="00190AC9" w:rsidP="000B3C4B">
            <w:pPr>
              <w:pStyle w:val="NoSpacing"/>
              <w:rPr>
                <w:rFonts w:cs="Calibri"/>
              </w:rPr>
            </w:pPr>
            <w:r w:rsidRPr="005832BD">
              <w:rPr>
                <w:rFonts w:cs="Calibri"/>
              </w:rPr>
              <w:t>Update policy into new template</w:t>
            </w:r>
          </w:p>
        </w:tc>
        <w:tc>
          <w:tcPr>
            <w:tcW w:w="1721" w:type="dxa"/>
          </w:tcPr>
          <w:p w14:paraId="4DAB4290" w14:textId="77777777" w:rsidR="00190AC9" w:rsidRPr="005832BD" w:rsidRDefault="00190AC9" w:rsidP="00724D32">
            <w:pPr>
              <w:pStyle w:val="NoSpacing"/>
              <w:rPr>
                <w:rFonts w:cs="Calibri"/>
              </w:rPr>
            </w:pPr>
            <w:r w:rsidRPr="005832BD">
              <w:rPr>
                <w:rFonts w:cs="Calibri"/>
              </w:rPr>
              <w:t>David Moxon</w:t>
            </w:r>
          </w:p>
        </w:tc>
        <w:tc>
          <w:tcPr>
            <w:tcW w:w="1574" w:type="dxa"/>
          </w:tcPr>
          <w:p w14:paraId="3E256F0C" w14:textId="77777777" w:rsidR="00190AC9" w:rsidRPr="005832BD" w:rsidRDefault="00190AC9" w:rsidP="00724D32">
            <w:pPr>
              <w:pStyle w:val="NoSpacing"/>
              <w:rPr>
                <w:rFonts w:cs="Calibri"/>
              </w:rPr>
            </w:pPr>
            <w:r w:rsidRPr="005832BD">
              <w:rPr>
                <w:rFonts w:cs="Calibri"/>
              </w:rPr>
              <w:t>SMT</w:t>
            </w:r>
          </w:p>
        </w:tc>
        <w:tc>
          <w:tcPr>
            <w:tcW w:w="1916" w:type="dxa"/>
          </w:tcPr>
          <w:p w14:paraId="3D21E5F1" w14:textId="77777777" w:rsidR="00190AC9" w:rsidRPr="005832BD" w:rsidRDefault="007247FA" w:rsidP="00724D32">
            <w:pPr>
              <w:pStyle w:val="NoSpacing"/>
              <w:rPr>
                <w:rFonts w:cs="Calibri"/>
              </w:rPr>
            </w:pPr>
            <w:r w:rsidRPr="005832BD">
              <w:rPr>
                <w:rFonts w:cs="Calibri"/>
              </w:rPr>
              <w:t>TBC</w:t>
            </w:r>
          </w:p>
        </w:tc>
      </w:tr>
      <w:tr w:rsidR="007247FA" w:rsidRPr="00724D32" w14:paraId="6523D374" w14:textId="77777777" w:rsidTr="000B3C4B">
        <w:tc>
          <w:tcPr>
            <w:tcW w:w="1085" w:type="dxa"/>
          </w:tcPr>
          <w:p w14:paraId="21D88F05" w14:textId="77777777" w:rsidR="007247FA" w:rsidRPr="005832BD" w:rsidRDefault="007247FA" w:rsidP="00724D32">
            <w:pPr>
              <w:pStyle w:val="NoSpacing"/>
              <w:rPr>
                <w:rFonts w:cs="Calibri"/>
              </w:rPr>
            </w:pPr>
            <w:r w:rsidRPr="005832BD">
              <w:rPr>
                <w:rFonts w:cs="Calibri"/>
              </w:rPr>
              <w:t>4</w:t>
            </w:r>
          </w:p>
        </w:tc>
        <w:tc>
          <w:tcPr>
            <w:tcW w:w="1073" w:type="dxa"/>
          </w:tcPr>
          <w:p w14:paraId="0BF36D7D" w14:textId="77777777" w:rsidR="007247FA" w:rsidRPr="005832BD" w:rsidRDefault="007247FA" w:rsidP="00724D32">
            <w:pPr>
              <w:pStyle w:val="NoSpacing"/>
              <w:rPr>
                <w:rFonts w:cs="Calibri"/>
              </w:rPr>
            </w:pPr>
            <w:r w:rsidRPr="005832BD">
              <w:rPr>
                <w:rFonts w:cs="Calibri"/>
              </w:rPr>
              <w:t>01.04.24</w:t>
            </w:r>
          </w:p>
        </w:tc>
        <w:tc>
          <w:tcPr>
            <w:tcW w:w="3249" w:type="dxa"/>
            <w:vAlign w:val="center"/>
          </w:tcPr>
          <w:p w14:paraId="14BC1081" w14:textId="5A074FC4" w:rsidR="007247FA" w:rsidRPr="005832BD" w:rsidRDefault="00A72B8D" w:rsidP="000B3C4B">
            <w:pPr>
              <w:pStyle w:val="NoSpacing"/>
              <w:rPr>
                <w:rFonts w:cs="Calibri"/>
              </w:rPr>
            </w:pPr>
            <w:r>
              <w:rPr>
                <w:rFonts w:cs="Calibri"/>
              </w:rPr>
              <w:t xml:space="preserve">Review policy </w:t>
            </w:r>
            <w:proofErr w:type="gramStart"/>
            <w:r>
              <w:rPr>
                <w:rFonts w:cs="Calibri"/>
              </w:rPr>
              <w:t>in light of</w:t>
            </w:r>
            <w:proofErr w:type="gramEnd"/>
            <w:r>
              <w:rPr>
                <w:rFonts w:cs="Calibri"/>
              </w:rPr>
              <w:t xml:space="preserve"> emerging ombudsman direction</w:t>
            </w:r>
            <w:r w:rsidR="007247FA" w:rsidRPr="005832BD">
              <w:rPr>
                <w:rFonts w:cs="Calibri"/>
              </w:rPr>
              <w:t xml:space="preserve"> </w:t>
            </w:r>
          </w:p>
        </w:tc>
        <w:tc>
          <w:tcPr>
            <w:tcW w:w="1721" w:type="dxa"/>
          </w:tcPr>
          <w:p w14:paraId="0DD1F245" w14:textId="77B605B1" w:rsidR="007247FA" w:rsidRPr="005832BD" w:rsidRDefault="007247FA" w:rsidP="00724D32">
            <w:pPr>
              <w:pStyle w:val="NoSpacing"/>
              <w:rPr>
                <w:rFonts w:cs="Calibri"/>
              </w:rPr>
            </w:pPr>
            <w:r w:rsidRPr="005832BD">
              <w:rPr>
                <w:rFonts w:cs="Calibri"/>
              </w:rPr>
              <w:t>Rob Bartholomew</w:t>
            </w:r>
            <w:r w:rsidR="00A72B8D">
              <w:rPr>
                <w:rFonts w:cs="Calibri"/>
              </w:rPr>
              <w:t xml:space="preserve"> / David Scruton</w:t>
            </w:r>
          </w:p>
        </w:tc>
        <w:tc>
          <w:tcPr>
            <w:tcW w:w="1574" w:type="dxa"/>
          </w:tcPr>
          <w:p w14:paraId="4A47E688" w14:textId="77777777" w:rsidR="007247FA" w:rsidRPr="005832BD" w:rsidRDefault="007247FA" w:rsidP="00724D32">
            <w:pPr>
              <w:pStyle w:val="NoSpacing"/>
              <w:rPr>
                <w:rFonts w:cs="Calibri"/>
              </w:rPr>
            </w:pPr>
          </w:p>
        </w:tc>
        <w:tc>
          <w:tcPr>
            <w:tcW w:w="1916" w:type="dxa"/>
          </w:tcPr>
          <w:p w14:paraId="4363C25A" w14:textId="77777777" w:rsidR="007247FA" w:rsidRPr="005832BD" w:rsidRDefault="007247FA" w:rsidP="00724D32">
            <w:pPr>
              <w:pStyle w:val="NoSpacing"/>
              <w:rPr>
                <w:rFonts w:cs="Calibri"/>
              </w:rPr>
            </w:pPr>
          </w:p>
        </w:tc>
      </w:tr>
    </w:tbl>
    <w:p w14:paraId="2A740466" w14:textId="77777777" w:rsidR="00C44C69" w:rsidRPr="00724D32" w:rsidRDefault="00C44C69" w:rsidP="00724D32">
      <w:pPr>
        <w:pStyle w:val="NoSpacing"/>
        <w:rPr>
          <w:rFonts w:ascii="Arial" w:hAnsi="Arial" w:cs="Arial"/>
        </w:rPr>
      </w:pPr>
    </w:p>
    <w:p w14:paraId="3FD98F2D" w14:textId="77777777" w:rsidR="0082722E" w:rsidRPr="001C4017" w:rsidRDefault="00C44C69" w:rsidP="0082722E">
      <w:pPr>
        <w:pStyle w:val="NoSpacing"/>
        <w:rPr>
          <w:rFonts w:cs="Calibri"/>
        </w:rPr>
      </w:pPr>
      <w:r w:rsidRPr="001C4017">
        <w:rPr>
          <w:rFonts w:cs="Calibri"/>
        </w:rPr>
        <w:t>Copies of this document are available upon request and can be obtained in large print or translated into other languages, if required.</w:t>
      </w:r>
    </w:p>
    <w:p w14:paraId="18568E30" w14:textId="77777777" w:rsidR="0082722E" w:rsidRDefault="0082722E" w:rsidP="0082722E">
      <w:pPr>
        <w:pStyle w:val="NoSpacing"/>
        <w:rPr>
          <w:rFonts w:ascii="Arial" w:hAnsi="Arial" w:cs="Arial"/>
        </w:rPr>
      </w:pPr>
    </w:p>
    <w:p w14:paraId="52AEF67A" w14:textId="77777777" w:rsidR="001C4017" w:rsidRDefault="001C4017" w:rsidP="0082722E">
      <w:pPr>
        <w:pStyle w:val="NoSpacing"/>
        <w:rPr>
          <w:rFonts w:ascii="Arial" w:hAnsi="Arial" w:cs="Arial"/>
        </w:rPr>
      </w:pPr>
    </w:p>
    <w:sdt>
      <w:sdtPr>
        <w:rPr>
          <w:rFonts w:ascii="Calibri" w:eastAsia="Calibri" w:hAnsi="Calibri"/>
          <w:color w:val="auto"/>
          <w:sz w:val="22"/>
          <w:szCs w:val="22"/>
          <w:lang w:val="en-GB"/>
        </w:rPr>
        <w:id w:val="-1550373201"/>
        <w:docPartObj>
          <w:docPartGallery w:val="Table of Contents"/>
          <w:docPartUnique/>
        </w:docPartObj>
      </w:sdtPr>
      <w:sdtEndPr>
        <w:rPr>
          <w:b/>
          <w:bCs/>
          <w:noProof/>
        </w:rPr>
      </w:sdtEndPr>
      <w:sdtContent>
        <w:p w14:paraId="4335C4E6" w14:textId="6BB9CBCA" w:rsidR="009F1F66" w:rsidRDefault="009F1F66">
          <w:pPr>
            <w:pStyle w:val="TOCHeading"/>
          </w:pPr>
          <w:r>
            <w:t>Contents</w:t>
          </w:r>
        </w:p>
        <w:p w14:paraId="4A1B28EA" w14:textId="6B660292" w:rsidR="008D58E9" w:rsidRDefault="009F1F66">
          <w:pPr>
            <w:pStyle w:val="TOC2"/>
            <w:tabs>
              <w:tab w:val="right" w:leader="dot" w:pos="10456"/>
            </w:tabs>
            <w:rPr>
              <w:rFonts w:asciiTheme="minorHAnsi" w:eastAsiaTheme="minorEastAsia" w:hAnsiTheme="minorHAnsi" w:cstheme="minorBidi"/>
              <w:noProof/>
              <w:kern w:val="2"/>
              <w:sz w:val="24"/>
              <w:szCs w:val="24"/>
              <w:lang w:eastAsia="en-GB"/>
              <w14:ligatures w14:val="standardContextual"/>
            </w:rPr>
          </w:pPr>
          <w:r>
            <w:fldChar w:fldCharType="begin"/>
          </w:r>
          <w:r>
            <w:instrText xml:space="preserve"> TOC \o "1-3" \h \z \u </w:instrText>
          </w:r>
          <w:r>
            <w:fldChar w:fldCharType="separate"/>
          </w:r>
          <w:hyperlink w:anchor="_Toc161647985" w:history="1">
            <w:r w:rsidR="008D58E9" w:rsidRPr="00581372">
              <w:rPr>
                <w:rStyle w:val="Hyperlink"/>
                <w:noProof/>
              </w:rPr>
              <w:t>1.     Policy Summary</w:t>
            </w:r>
            <w:r w:rsidR="008D58E9">
              <w:rPr>
                <w:noProof/>
                <w:webHidden/>
              </w:rPr>
              <w:tab/>
            </w:r>
            <w:r w:rsidR="008D58E9">
              <w:rPr>
                <w:noProof/>
                <w:webHidden/>
              </w:rPr>
              <w:fldChar w:fldCharType="begin"/>
            </w:r>
            <w:r w:rsidR="008D58E9">
              <w:rPr>
                <w:noProof/>
                <w:webHidden/>
              </w:rPr>
              <w:instrText xml:space="preserve"> PAGEREF _Toc161647985 \h </w:instrText>
            </w:r>
            <w:r w:rsidR="008D58E9">
              <w:rPr>
                <w:noProof/>
                <w:webHidden/>
              </w:rPr>
            </w:r>
            <w:r w:rsidR="008D58E9">
              <w:rPr>
                <w:noProof/>
                <w:webHidden/>
              </w:rPr>
              <w:fldChar w:fldCharType="separate"/>
            </w:r>
            <w:r w:rsidR="008D58E9">
              <w:rPr>
                <w:noProof/>
                <w:webHidden/>
              </w:rPr>
              <w:t>3</w:t>
            </w:r>
            <w:r w:rsidR="008D58E9">
              <w:rPr>
                <w:noProof/>
                <w:webHidden/>
              </w:rPr>
              <w:fldChar w:fldCharType="end"/>
            </w:r>
          </w:hyperlink>
        </w:p>
        <w:p w14:paraId="0EFD7A58" w14:textId="03474CBF" w:rsidR="008D58E9" w:rsidRDefault="00F32212">
          <w:pPr>
            <w:pStyle w:val="TOC2"/>
            <w:tabs>
              <w:tab w:val="right" w:leader="dot" w:pos="10456"/>
            </w:tabs>
            <w:rPr>
              <w:rFonts w:asciiTheme="minorHAnsi" w:eastAsiaTheme="minorEastAsia" w:hAnsiTheme="minorHAnsi" w:cstheme="minorBidi"/>
              <w:noProof/>
              <w:kern w:val="2"/>
              <w:sz w:val="24"/>
              <w:szCs w:val="24"/>
              <w:lang w:eastAsia="en-GB"/>
              <w14:ligatures w14:val="standardContextual"/>
            </w:rPr>
          </w:pPr>
          <w:hyperlink w:anchor="_Toc161647986" w:history="1">
            <w:r w:rsidR="008D58E9" w:rsidRPr="00581372">
              <w:rPr>
                <w:rStyle w:val="Hyperlink"/>
                <w:noProof/>
              </w:rPr>
              <w:t>2.     Policy Objectives</w:t>
            </w:r>
            <w:r w:rsidR="008D58E9">
              <w:rPr>
                <w:noProof/>
                <w:webHidden/>
              </w:rPr>
              <w:tab/>
            </w:r>
            <w:r w:rsidR="008D58E9">
              <w:rPr>
                <w:noProof/>
                <w:webHidden/>
              </w:rPr>
              <w:fldChar w:fldCharType="begin"/>
            </w:r>
            <w:r w:rsidR="008D58E9">
              <w:rPr>
                <w:noProof/>
                <w:webHidden/>
              </w:rPr>
              <w:instrText xml:space="preserve"> PAGEREF _Toc161647986 \h </w:instrText>
            </w:r>
            <w:r w:rsidR="008D58E9">
              <w:rPr>
                <w:noProof/>
                <w:webHidden/>
              </w:rPr>
            </w:r>
            <w:r w:rsidR="008D58E9">
              <w:rPr>
                <w:noProof/>
                <w:webHidden/>
              </w:rPr>
              <w:fldChar w:fldCharType="separate"/>
            </w:r>
            <w:r w:rsidR="008D58E9">
              <w:rPr>
                <w:noProof/>
                <w:webHidden/>
              </w:rPr>
              <w:t>3</w:t>
            </w:r>
            <w:r w:rsidR="008D58E9">
              <w:rPr>
                <w:noProof/>
                <w:webHidden/>
              </w:rPr>
              <w:fldChar w:fldCharType="end"/>
            </w:r>
          </w:hyperlink>
        </w:p>
        <w:p w14:paraId="2D4B3393" w14:textId="3C91CA60" w:rsidR="008D58E9" w:rsidRDefault="00F32212">
          <w:pPr>
            <w:pStyle w:val="TOC2"/>
            <w:tabs>
              <w:tab w:val="right" w:leader="dot" w:pos="10456"/>
            </w:tabs>
            <w:rPr>
              <w:rFonts w:asciiTheme="minorHAnsi" w:eastAsiaTheme="minorEastAsia" w:hAnsiTheme="minorHAnsi" w:cstheme="minorBidi"/>
              <w:noProof/>
              <w:kern w:val="2"/>
              <w:sz w:val="24"/>
              <w:szCs w:val="24"/>
              <w:lang w:eastAsia="en-GB"/>
              <w14:ligatures w14:val="standardContextual"/>
            </w:rPr>
          </w:pPr>
          <w:hyperlink w:anchor="_Toc161647987" w:history="1">
            <w:r w:rsidR="008D58E9" w:rsidRPr="00581372">
              <w:rPr>
                <w:rStyle w:val="Hyperlink"/>
                <w:noProof/>
              </w:rPr>
              <w:t>3.     Policy Scope</w:t>
            </w:r>
            <w:r w:rsidR="008D58E9">
              <w:rPr>
                <w:noProof/>
                <w:webHidden/>
              </w:rPr>
              <w:tab/>
            </w:r>
            <w:r w:rsidR="008D58E9">
              <w:rPr>
                <w:noProof/>
                <w:webHidden/>
              </w:rPr>
              <w:fldChar w:fldCharType="begin"/>
            </w:r>
            <w:r w:rsidR="008D58E9">
              <w:rPr>
                <w:noProof/>
                <w:webHidden/>
              </w:rPr>
              <w:instrText xml:space="preserve"> PAGEREF _Toc161647987 \h </w:instrText>
            </w:r>
            <w:r w:rsidR="008D58E9">
              <w:rPr>
                <w:noProof/>
                <w:webHidden/>
              </w:rPr>
            </w:r>
            <w:r w:rsidR="008D58E9">
              <w:rPr>
                <w:noProof/>
                <w:webHidden/>
              </w:rPr>
              <w:fldChar w:fldCharType="separate"/>
            </w:r>
            <w:r w:rsidR="008D58E9">
              <w:rPr>
                <w:noProof/>
                <w:webHidden/>
              </w:rPr>
              <w:t>3</w:t>
            </w:r>
            <w:r w:rsidR="008D58E9">
              <w:rPr>
                <w:noProof/>
                <w:webHidden/>
              </w:rPr>
              <w:fldChar w:fldCharType="end"/>
            </w:r>
          </w:hyperlink>
        </w:p>
        <w:p w14:paraId="39064B52" w14:textId="49FAC596" w:rsidR="008D58E9" w:rsidRDefault="00F32212">
          <w:pPr>
            <w:pStyle w:val="TOC2"/>
            <w:tabs>
              <w:tab w:val="right" w:leader="dot" w:pos="10456"/>
            </w:tabs>
            <w:rPr>
              <w:rFonts w:asciiTheme="minorHAnsi" w:eastAsiaTheme="minorEastAsia" w:hAnsiTheme="minorHAnsi" w:cstheme="minorBidi"/>
              <w:noProof/>
              <w:kern w:val="2"/>
              <w:sz w:val="24"/>
              <w:szCs w:val="24"/>
              <w:lang w:eastAsia="en-GB"/>
              <w14:ligatures w14:val="standardContextual"/>
            </w:rPr>
          </w:pPr>
          <w:hyperlink w:anchor="_Toc161647988" w:history="1">
            <w:r w:rsidR="008D58E9" w:rsidRPr="00581372">
              <w:rPr>
                <w:rStyle w:val="Hyperlink"/>
                <w:noProof/>
              </w:rPr>
              <w:t>4.     Compensation and Payments</w:t>
            </w:r>
            <w:r w:rsidR="008D58E9">
              <w:rPr>
                <w:noProof/>
                <w:webHidden/>
              </w:rPr>
              <w:tab/>
            </w:r>
            <w:r w:rsidR="008D58E9">
              <w:rPr>
                <w:noProof/>
                <w:webHidden/>
              </w:rPr>
              <w:fldChar w:fldCharType="begin"/>
            </w:r>
            <w:r w:rsidR="008D58E9">
              <w:rPr>
                <w:noProof/>
                <w:webHidden/>
              </w:rPr>
              <w:instrText xml:space="preserve"> PAGEREF _Toc161647988 \h </w:instrText>
            </w:r>
            <w:r w:rsidR="008D58E9">
              <w:rPr>
                <w:noProof/>
                <w:webHidden/>
              </w:rPr>
            </w:r>
            <w:r w:rsidR="008D58E9">
              <w:rPr>
                <w:noProof/>
                <w:webHidden/>
              </w:rPr>
              <w:fldChar w:fldCharType="separate"/>
            </w:r>
            <w:r w:rsidR="008D58E9">
              <w:rPr>
                <w:noProof/>
                <w:webHidden/>
              </w:rPr>
              <w:t>3</w:t>
            </w:r>
            <w:r w:rsidR="008D58E9">
              <w:rPr>
                <w:noProof/>
                <w:webHidden/>
              </w:rPr>
              <w:fldChar w:fldCharType="end"/>
            </w:r>
          </w:hyperlink>
        </w:p>
        <w:p w14:paraId="4184561E" w14:textId="65F788B6" w:rsidR="008D58E9" w:rsidRDefault="00F32212">
          <w:pPr>
            <w:pStyle w:val="TOC2"/>
            <w:tabs>
              <w:tab w:val="right" w:leader="dot" w:pos="10456"/>
            </w:tabs>
            <w:rPr>
              <w:rFonts w:asciiTheme="minorHAnsi" w:eastAsiaTheme="minorEastAsia" w:hAnsiTheme="minorHAnsi" w:cstheme="minorBidi"/>
              <w:noProof/>
              <w:kern w:val="2"/>
              <w:sz w:val="24"/>
              <w:szCs w:val="24"/>
              <w:lang w:eastAsia="en-GB"/>
              <w14:ligatures w14:val="standardContextual"/>
            </w:rPr>
          </w:pPr>
          <w:hyperlink w:anchor="_Toc161647989" w:history="1">
            <w:r w:rsidR="008D58E9" w:rsidRPr="00581372">
              <w:rPr>
                <w:rStyle w:val="Hyperlink"/>
                <w:noProof/>
              </w:rPr>
              <w:t>5. Payments in kind</w:t>
            </w:r>
            <w:r w:rsidR="008D58E9">
              <w:rPr>
                <w:noProof/>
                <w:webHidden/>
              </w:rPr>
              <w:tab/>
            </w:r>
            <w:r w:rsidR="008D58E9">
              <w:rPr>
                <w:noProof/>
                <w:webHidden/>
              </w:rPr>
              <w:fldChar w:fldCharType="begin"/>
            </w:r>
            <w:r w:rsidR="008D58E9">
              <w:rPr>
                <w:noProof/>
                <w:webHidden/>
              </w:rPr>
              <w:instrText xml:space="preserve"> PAGEREF _Toc161647989 \h </w:instrText>
            </w:r>
            <w:r w:rsidR="008D58E9">
              <w:rPr>
                <w:noProof/>
                <w:webHidden/>
              </w:rPr>
            </w:r>
            <w:r w:rsidR="008D58E9">
              <w:rPr>
                <w:noProof/>
                <w:webHidden/>
              </w:rPr>
              <w:fldChar w:fldCharType="separate"/>
            </w:r>
            <w:r w:rsidR="008D58E9">
              <w:rPr>
                <w:noProof/>
                <w:webHidden/>
              </w:rPr>
              <w:t>6</w:t>
            </w:r>
            <w:r w:rsidR="008D58E9">
              <w:rPr>
                <w:noProof/>
                <w:webHidden/>
              </w:rPr>
              <w:fldChar w:fldCharType="end"/>
            </w:r>
          </w:hyperlink>
        </w:p>
        <w:p w14:paraId="0CE881C3" w14:textId="133A3FC2" w:rsidR="008D58E9" w:rsidRDefault="00F32212">
          <w:pPr>
            <w:pStyle w:val="TOC2"/>
            <w:tabs>
              <w:tab w:val="left" w:pos="720"/>
              <w:tab w:val="right" w:leader="dot" w:pos="10456"/>
            </w:tabs>
            <w:rPr>
              <w:rFonts w:asciiTheme="minorHAnsi" w:eastAsiaTheme="minorEastAsia" w:hAnsiTheme="minorHAnsi" w:cstheme="minorBidi"/>
              <w:noProof/>
              <w:kern w:val="2"/>
              <w:sz w:val="24"/>
              <w:szCs w:val="24"/>
              <w:lang w:eastAsia="en-GB"/>
              <w14:ligatures w14:val="standardContextual"/>
            </w:rPr>
          </w:pPr>
          <w:hyperlink w:anchor="_Toc161647990" w:history="1">
            <w:r w:rsidR="008D58E9" w:rsidRPr="00581372">
              <w:rPr>
                <w:rStyle w:val="Hyperlink"/>
                <w:noProof/>
              </w:rPr>
              <w:t>5.</w:t>
            </w:r>
            <w:r w:rsidR="008D58E9">
              <w:rPr>
                <w:rFonts w:asciiTheme="minorHAnsi" w:eastAsiaTheme="minorEastAsia" w:hAnsiTheme="minorHAnsi" w:cstheme="minorBidi"/>
                <w:noProof/>
                <w:kern w:val="2"/>
                <w:sz w:val="24"/>
                <w:szCs w:val="24"/>
                <w:lang w:eastAsia="en-GB"/>
                <w14:ligatures w14:val="standardContextual"/>
              </w:rPr>
              <w:tab/>
            </w:r>
            <w:r w:rsidR="008D58E9" w:rsidRPr="00581372">
              <w:rPr>
                <w:rStyle w:val="Hyperlink"/>
                <w:noProof/>
              </w:rPr>
              <w:t>Responsible Party</w:t>
            </w:r>
            <w:r w:rsidR="008D58E9">
              <w:rPr>
                <w:noProof/>
                <w:webHidden/>
              </w:rPr>
              <w:tab/>
            </w:r>
            <w:r w:rsidR="008D58E9">
              <w:rPr>
                <w:noProof/>
                <w:webHidden/>
              </w:rPr>
              <w:fldChar w:fldCharType="begin"/>
            </w:r>
            <w:r w:rsidR="008D58E9">
              <w:rPr>
                <w:noProof/>
                <w:webHidden/>
              </w:rPr>
              <w:instrText xml:space="preserve"> PAGEREF _Toc161647990 \h </w:instrText>
            </w:r>
            <w:r w:rsidR="008D58E9">
              <w:rPr>
                <w:noProof/>
                <w:webHidden/>
              </w:rPr>
            </w:r>
            <w:r w:rsidR="008D58E9">
              <w:rPr>
                <w:noProof/>
                <w:webHidden/>
              </w:rPr>
              <w:fldChar w:fldCharType="separate"/>
            </w:r>
            <w:r w:rsidR="008D58E9">
              <w:rPr>
                <w:noProof/>
                <w:webHidden/>
              </w:rPr>
              <w:t>6</w:t>
            </w:r>
            <w:r w:rsidR="008D58E9">
              <w:rPr>
                <w:noProof/>
                <w:webHidden/>
              </w:rPr>
              <w:fldChar w:fldCharType="end"/>
            </w:r>
          </w:hyperlink>
        </w:p>
        <w:p w14:paraId="4EC6C68B" w14:textId="485877E6" w:rsidR="008D58E9" w:rsidRDefault="00F32212">
          <w:pPr>
            <w:pStyle w:val="TOC2"/>
            <w:tabs>
              <w:tab w:val="left" w:pos="720"/>
              <w:tab w:val="right" w:leader="dot" w:pos="10456"/>
            </w:tabs>
            <w:rPr>
              <w:rFonts w:asciiTheme="minorHAnsi" w:eastAsiaTheme="minorEastAsia" w:hAnsiTheme="minorHAnsi" w:cstheme="minorBidi"/>
              <w:noProof/>
              <w:kern w:val="2"/>
              <w:sz w:val="24"/>
              <w:szCs w:val="24"/>
              <w:lang w:eastAsia="en-GB"/>
              <w14:ligatures w14:val="standardContextual"/>
            </w:rPr>
          </w:pPr>
          <w:hyperlink w:anchor="_Toc161647991" w:history="1">
            <w:r w:rsidR="008D58E9" w:rsidRPr="00581372">
              <w:rPr>
                <w:rStyle w:val="Hyperlink"/>
                <w:noProof/>
              </w:rPr>
              <w:t>6.</w:t>
            </w:r>
            <w:r w:rsidR="008D58E9">
              <w:rPr>
                <w:rFonts w:asciiTheme="minorHAnsi" w:eastAsiaTheme="minorEastAsia" w:hAnsiTheme="minorHAnsi" w:cstheme="minorBidi"/>
                <w:noProof/>
                <w:kern w:val="2"/>
                <w:sz w:val="24"/>
                <w:szCs w:val="24"/>
                <w:lang w:eastAsia="en-GB"/>
                <w14:ligatures w14:val="standardContextual"/>
              </w:rPr>
              <w:tab/>
            </w:r>
            <w:r w:rsidR="008D58E9" w:rsidRPr="00581372">
              <w:rPr>
                <w:rStyle w:val="Hyperlink"/>
                <w:noProof/>
              </w:rPr>
              <w:t>Authorisation and Payment</w:t>
            </w:r>
            <w:r w:rsidR="008D58E9">
              <w:rPr>
                <w:noProof/>
                <w:webHidden/>
              </w:rPr>
              <w:tab/>
            </w:r>
            <w:r w:rsidR="008D58E9">
              <w:rPr>
                <w:noProof/>
                <w:webHidden/>
              </w:rPr>
              <w:fldChar w:fldCharType="begin"/>
            </w:r>
            <w:r w:rsidR="008D58E9">
              <w:rPr>
                <w:noProof/>
                <w:webHidden/>
              </w:rPr>
              <w:instrText xml:space="preserve"> PAGEREF _Toc161647991 \h </w:instrText>
            </w:r>
            <w:r w:rsidR="008D58E9">
              <w:rPr>
                <w:noProof/>
                <w:webHidden/>
              </w:rPr>
            </w:r>
            <w:r w:rsidR="008D58E9">
              <w:rPr>
                <w:noProof/>
                <w:webHidden/>
              </w:rPr>
              <w:fldChar w:fldCharType="separate"/>
            </w:r>
            <w:r w:rsidR="008D58E9">
              <w:rPr>
                <w:noProof/>
                <w:webHidden/>
              </w:rPr>
              <w:t>6</w:t>
            </w:r>
            <w:r w:rsidR="008D58E9">
              <w:rPr>
                <w:noProof/>
                <w:webHidden/>
              </w:rPr>
              <w:fldChar w:fldCharType="end"/>
            </w:r>
          </w:hyperlink>
        </w:p>
        <w:p w14:paraId="3ABB9EE2" w14:textId="55FD6967" w:rsidR="008D58E9" w:rsidRDefault="00F32212">
          <w:pPr>
            <w:pStyle w:val="TOC2"/>
            <w:tabs>
              <w:tab w:val="left" w:pos="720"/>
              <w:tab w:val="right" w:leader="dot" w:pos="10456"/>
            </w:tabs>
            <w:rPr>
              <w:rFonts w:asciiTheme="minorHAnsi" w:eastAsiaTheme="minorEastAsia" w:hAnsiTheme="minorHAnsi" w:cstheme="minorBidi"/>
              <w:noProof/>
              <w:kern w:val="2"/>
              <w:sz w:val="24"/>
              <w:szCs w:val="24"/>
              <w:lang w:eastAsia="en-GB"/>
              <w14:ligatures w14:val="standardContextual"/>
            </w:rPr>
          </w:pPr>
          <w:hyperlink w:anchor="_Toc161647992" w:history="1">
            <w:r w:rsidR="008D58E9" w:rsidRPr="00581372">
              <w:rPr>
                <w:rStyle w:val="Hyperlink"/>
                <w:noProof/>
              </w:rPr>
              <w:t>7.</w:t>
            </w:r>
            <w:r w:rsidR="008D58E9">
              <w:rPr>
                <w:rFonts w:asciiTheme="minorHAnsi" w:eastAsiaTheme="minorEastAsia" w:hAnsiTheme="minorHAnsi" w:cstheme="minorBidi"/>
                <w:noProof/>
                <w:kern w:val="2"/>
                <w:sz w:val="24"/>
                <w:szCs w:val="24"/>
                <w:lang w:eastAsia="en-GB"/>
                <w14:ligatures w14:val="standardContextual"/>
              </w:rPr>
              <w:tab/>
            </w:r>
            <w:r w:rsidR="008D58E9" w:rsidRPr="00581372">
              <w:rPr>
                <w:rStyle w:val="Hyperlink"/>
                <w:noProof/>
              </w:rPr>
              <w:t>Compliments and Complaints</w:t>
            </w:r>
            <w:r w:rsidR="008D58E9">
              <w:rPr>
                <w:noProof/>
                <w:webHidden/>
              </w:rPr>
              <w:tab/>
            </w:r>
            <w:r w:rsidR="008D58E9">
              <w:rPr>
                <w:noProof/>
                <w:webHidden/>
              </w:rPr>
              <w:fldChar w:fldCharType="begin"/>
            </w:r>
            <w:r w:rsidR="008D58E9">
              <w:rPr>
                <w:noProof/>
                <w:webHidden/>
              </w:rPr>
              <w:instrText xml:space="preserve"> PAGEREF _Toc161647992 \h </w:instrText>
            </w:r>
            <w:r w:rsidR="008D58E9">
              <w:rPr>
                <w:noProof/>
                <w:webHidden/>
              </w:rPr>
            </w:r>
            <w:r w:rsidR="008D58E9">
              <w:rPr>
                <w:noProof/>
                <w:webHidden/>
              </w:rPr>
              <w:fldChar w:fldCharType="separate"/>
            </w:r>
            <w:r w:rsidR="008D58E9">
              <w:rPr>
                <w:noProof/>
                <w:webHidden/>
              </w:rPr>
              <w:t>6</w:t>
            </w:r>
            <w:r w:rsidR="008D58E9">
              <w:rPr>
                <w:noProof/>
                <w:webHidden/>
              </w:rPr>
              <w:fldChar w:fldCharType="end"/>
            </w:r>
          </w:hyperlink>
        </w:p>
        <w:p w14:paraId="4ACB1C84" w14:textId="59607CD1" w:rsidR="008D58E9" w:rsidRDefault="00F32212">
          <w:pPr>
            <w:pStyle w:val="TOC2"/>
            <w:tabs>
              <w:tab w:val="left" w:pos="720"/>
              <w:tab w:val="right" w:leader="dot" w:pos="10456"/>
            </w:tabs>
            <w:rPr>
              <w:rFonts w:asciiTheme="minorHAnsi" w:eastAsiaTheme="minorEastAsia" w:hAnsiTheme="minorHAnsi" w:cstheme="minorBidi"/>
              <w:noProof/>
              <w:kern w:val="2"/>
              <w:sz w:val="24"/>
              <w:szCs w:val="24"/>
              <w:lang w:eastAsia="en-GB"/>
              <w14:ligatures w14:val="standardContextual"/>
            </w:rPr>
          </w:pPr>
          <w:hyperlink w:anchor="_Toc161647993" w:history="1">
            <w:r w:rsidR="008D58E9" w:rsidRPr="00581372">
              <w:rPr>
                <w:rStyle w:val="Hyperlink"/>
                <w:noProof/>
              </w:rPr>
              <w:t>8.</w:t>
            </w:r>
            <w:r w:rsidR="008D58E9">
              <w:rPr>
                <w:rFonts w:asciiTheme="minorHAnsi" w:eastAsiaTheme="minorEastAsia" w:hAnsiTheme="minorHAnsi" w:cstheme="minorBidi"/>
                <w:noProof/>
                <w:kern w:val="2"/>
                <w:sz w:val="24"/>
                <w:szCs w:val="24"/>
                <w:lang w:eastAsia="en-GB"/>
                <w14:ligatures w14:val="standardContextual"/>
              </w:rPr>
              <w:tab/>
            </w:r>
            <w:r w:rsidR="008D58E9" w:rsidRPr="00581372">
              <w:rPr>
                <w:rStyle w:val="Hyperlink"/>
                <w:noProof/>
              </w:rPr>
              <w:t>Equality and Diversity</w:t>
            </w:r>
            <w:r w:rsidR="008D58E9">
              <w:rPr>
                <w:noProof/>
                <w:webHidden/>
              </w:rPr>
              <w:tab/>
            </w:r>
            <w:r w:rsidR="008D58E9">
              <w:rPr>
                <w:noProof/>
                <w:webHidden/>
              </w:rPr>
              <w:fldChar w:fldCharType="begin"/>
            </w:r>
            <w:r w:rsidR="008D58E9">
              <w:rPr>
                <w:noProof/>
                <w:webHidden/>
              </w:rPr>
              <w:instrText xml:space="preserve"> PAGEREF _Toc161647993 \h </w:instrText>
            </w:r>
            <w:r w:rsidR="008D58E9">
              <w:rPr>
                <w:noProof/>
                <w:webHidden/>
              </w:rPr>
            </w:r>
            <w:r w:rsidR="008D58E9">
              <w:rPr>
                <w:noProof/>
                <w:webHidden/>
              </w:rPr>
              <w:fldChar w:fldCharType="separate"/>
            </w:r>
            <w:r w:rsidR="008D58E9">
              <w:rPr>
                <w:noProof/>
                <w:webHidden/>
              </w:rPr>
              <w:t>7</w:t>
            </w:r>
            <w:r w:rsidR="008D58E9">
              <w:rPr>
                <w:noProof/>
                <w:webHidden/>
              </w:rPr>
              <w:fldChar w:fldCharType="end"/>
            </w:r>
          </w:hyperlink>
        </w:p>
        <w:p w14:paraId="6D11DAAD" w14:textId="60E998CB" w:rsidR="008D58E9" w:rsidRDefault="00F32212">
          <w:pPr>
            <w:pStyle w:val="TOC2"/>
            <w:tabs>
              <w:tab w:val="left" w:pos="720"/>
              <w:tab w:val="right" w:leader="dot" w:pos="10456"/>
            </w:tabs>
            <w:rPr>
              <w:rFonts w:asciiTheme="minorHAnsi" w:eastAsiaTheme="minorEastAsia" w:hAnsiTheme="minorHAnsi" w:cstheme="minorBidi"/>
              <w:noProof/>
              <w:kern w:val="2"/>
              <w:sz w:val="24"/>
              <w:szCs w:val="24"/>
              <w:lang w:eastAsia="en-GB"/>
              <w14:ligatures w14:val="standardContextual"/>
            </w:rPr>
          </w:pPr>
          <w:hyperlink w:anchor="_Toc161647994" w:history="1">
            <w:r w:rsidR="008D58E9" w:rsidRPr="00581372">
              <w:rPr>
                <w:rStyle w:val="Hyperlink"/>
                <w:noProof/>
              </w:rPr>
              <w:t>9.</w:t>
            </w:r>
            <w:r w:rsidR="008D58E9">
              <w:rPr>
                <w:rFonts w:asciiTheme="minorHAnsi" w:eastAsiaTheme="minorEastAsia" w:hAnsiTheme="minorHAnsi" w:cstheme="minorBidi"/>
                <w:noProof/>
                <w:kern w:val="2"/>
                <w:sz w:val="24"/>
                <w:szCs w:val="24"/>
                <w:lang w:eastAsia="en-GB"/>
                <w14:ligatures w14:val="standardContextual"/>
              </w:rPr>
              <w:tab/>
            </w:r>
            <w:r w:rsidR="008D58E9" w:rsidRPr="00581372">
              <w:rPr>
                <w:rStyle w:val="Hyperlink"/>
                <w:noProof/>
              </w:rPr>
              <w:t>Implementation and Monitoring</w:t>
            </w:r>
            <w:r w:rsidR="008D58E9">
              <w:rPr>
                <w:noProof/>
                <w:webHidden/>
              </w:rPr>
              <w:tab/>
            </w:r>
            <w:r w:rsidR="008D58E9">
              <w:rPr>
                <w:noProof/>
                <w:webHidden/>
              </w:rPr>
              <w:fldChar w:fldCharType="begin"/>
            </w:r>
            <w:r w:rsidR="008D58E9">
              <w:rPr>
                <w:noProof/>
                <w:webHidden/>
              </w:rPr>
              <w:instrText xml:space="preserve"> PAGEREF _Toc161647994 \h </w:instrText>
            </w:r>
            <w:r w:rsidR="008D58E9">
              <w:rPr>
                <w:noProof/>
                <w:webHidden/>
              </w:rPr>
            </w:r>
            <w:r w:rsidR="008D58E9">
              <w:rPr>
                <w:noProof/>
                <w:webHidden/>
              </w:rPr>
              <w:fldChar w:fldCharType="separate"/>
            </w:r>
            <w:r w:rsidR="008D58E9">
              <w:rPr>
                <w:noProof/>
                <w:webHidden/>
              </w:rPr>
              <w:t>7</w:t>
            </w:r>
            <w:r w:rsidR="008D58E9">
              <w:rPr>
                <w:noProof/>
                <w:webHidden/>
              </w:rPr>
              <w:fldChar w:fldCharType="end"/>
            </w:r>
          </w:hyperlink>
        </w:p>
        <w:p w14:paraId="60FF202C" w14:textId="05520FA0" w:rsidR="008D58E9" w:rsidRDefault="00F32212">
          <w:pPr>
            <w:pStyle w:val="TOC2"/>
            <w:tabs>
              <w:tab w:val="left" w:pos="960"/>
              <w:tab w:val="right" w:leader="dot" w:pos="10456"/>
            </w:tabs>
            <w:rPr>
              <w:rFonts w:asciiTheme="minorHAnsi" w:eastAsiaTheme="minorEastAsia" w:hAnsiTheme="minorHAnsi" w:cstheme="minorBidi"/>
              <w:noProof/>
              <w:kern w:val="2"/>
              <w:sz w:val="24"/>
              <w:szCs w:val="24"/>
              <w:lang w:eastAsia="en-GB"/>
              <w14:ligatures w14:val="standardContextual"/>
            </w:rPr>
          </w:pPr>
          <w:hyperlink w:anchor="_Toc161647995" w:history="1">
            <w:r w:rsidR="008D58E9" w:rsidRPr="00581372">
              <w:rPr>
                <w:rStyle w:val="Hyperlink"/>
                <w:noProof/>
              </w:rPr>
              <w:t>10.</w:t>
            </w:r>
            <w:r w:rsidR="008D58E9">
              <w:rPr>
                <w:rFonts w:asciiTheme="minorHAnsi" w:eastAsiaTheme="minorEastAsia" w:hAnsiTheme="minorHAnsi" w:cstheme="minorBidi"/>
                <w:noProof/>
                <w:kern w:val="2"/>
                <w:sz w:val="24"/>
                <w:szCs w:val="24"/>
                <w:lang w:eastAsia="en-GB"/>
                <w14:ligatures w14:val="standardContextual"/>
              </w:rPr>
              <w:tab/>
            </w:r>
            <w:r w:rsidR="008D58E9" w:rsidRPr="00581372">
              <w:rPr>
                <w:rStyle w:val="Hyperlink"/>
                <w:noProof/>
              </w:rPr>
              <w:t>Service Standards</w:t>
            </w:r>
            <w:r w:rsidR="008D58E9">
              <w:rPr>
                <w:noProof/>
                <w:webHidden/>
              </w:rPr>
              <w:tab/>
            </w:r>
            <w:r w:rsidR="008D58E9">
              <w:rPr>
                <w:noProof/>
                <w:webHidden/>
              </w:rPr>
              <w:fldChar w:fldCharType="begin"/>
            </w:r>
            <w:r w:rsidR="008D58E9">
              <w:rPr>
                <w:noProof/>
                <w:webHidden/>
              </w:rPr>
              <w:instrText xml:space="preserve"> PAGEREF _Toc161647995 \h </w:instrText>
            </w:r>
            <w:r w:rsidR="008D58E9">
              <w:rPr>
                <w:noProof/>
                <w:webHidden/>
              </w:rPr>
            </w:r>
            <w:r w:rsidR="008D58E9">
              <w:rPr>
                <w:noProof/>
                <w:webHidden/>
              </w:rPr>
              <w:fldChar w:fldCharType="separate"/>
            </w:r>
            <w:r w:rsidR="008D58E9">
              <w:rPr>
                <w:noProof/>
                <w:webHidden/>
              </w:rPr>
              <w:t>7</w:t>
            </w:r>
            <w:r w:rsidR="008D58E9">
              <w:rPr>
                <w:noProof/>
                <w:webHidden/>
              </w:rPr>
              <w:fldChar w:fldCharType="end"/>
            </w:r>
          </w:hyperlink>
        </w:p>
        <w:p w14:paraId="3682259B" w14:textId="7CA22374" w:rsidR="008D58E9" w:rsidRDefault="00F32212">
          <w:pPr>
            <w:pStyle w:val="TOC2"/>
            <w:tabs>
              <w:tab w:val="left" w:pos="960"/>
              <w:tab w:val="right" w:leader="dot" w:pos="10456"/>
            </w:tabs>
            <w:rPr>
              <w:rFonts w:asciiTheme="minorHAnsi" w:eastAsiaTheme="minorEastAsia" w:hAnsiTheme="minorHAnsi" w:cstheme="minorBidi"/>
              <w:noProof/>
              <w:kern w:val="2"/>
              <w:sz w:val="24"/>
              <w:szCs w:val="24"/>
              <w:lang w:eastAsia="en-GB"/>
              <w14:ligatures w14:val="standardContextual"/>
            </w:rPr>
          </w:pPr>
          <w:hyperlink w:anchor="_Toc161647996" w:history="1">
            <w:r w:rsidR="008D58E9" w:rsidRPr="00581372">
              <w:rPr>
                <w:rStyle w:val="Hyperlink"/>
                <w:noProof/>
              </w:rPr>
              <w:t>11.</w:t>
            </w:r>
            <w:r w:rsidR="008D58E9">
              <w:rPr>
                <w:rFonts w:asciiTheme="minorHAnsi" w:eastAsiaTheme="minorEastAsia" w:hAnsiTheme="minorHAnsi" w:cstheme="minorBidi"/>
                <w:noProof/>
                <w:kern w:val="2"/>
                <w:sz w:val="24"/>
                <w:szCs w:val="24"/>
                <w:lang w:eastAsia="en-GB"/>
                <w14:ligatures w14:val="standardContextual"/>
              </w:rPr>
              <w:tab/>
            </w:r>
            <w:r w:rsidR="008D58E9" w:rsidRPr="00581372">
              <w:rPr>
                <w:rStyle w:val="Hyperlink"/>
                <w:noProof/>
              </w:rPr>
              <w:t>Right to Review</w:t>
            </w:r>
            <w:r w:rsidR="008D58E9">
              <w:rPr>
                <w:noProof/>
                <w:webHidden/>
              </w:rPr>
              <w:tab/>
            </w:r>
            <w:r w:rsidR="008D58E9">
              <w:rPr>
                <w:noProof/>
                <w:webHidden/>
              </w:rPr>
              <w:fldChar w:fldCharType="begin"/>
            </w:r>
            <w:r w:rsidR="008D58E9">
              <w:rPr>
                <w:noProof/>
                <w:webHidden/>
              </w:rPr>
              <w:instrText xml:space="preserve"> PAGEREF _Toc161647996 \h </w:instrText>
            </w:r>
            <w:r w:rsidR="008D58E9">
              <w:rPr>
                <w:noProof/>
                <w:webHidden/>
              </w:rPr>
            </w:r>
            <w:r w:rsidR="008D58E9">
              <w:rPr>
                <w:noProof/>
                <w:webHidden/>
              </w:rPr>
              <w:fldChar w:fldCharType="separate"/>
            </w:r>
            <w:r w:rsidR="008D58E9">
              <w:rPr>
                <w:noProof/>
                <w:webHidden/>
              </w:rPr>
              <w:t>7</w:t>
            </w:r>
            <w:r w:rsidR="008D58E9">
              <w:rPr>
                <w:noProof/>
                <w:webHidden/>
              </w:rPr>
              <w:fldChar w:fldCharType="end"/>
            </w:r>
          </w:hyperlink>
        </w:p>
        <w:p w14:paraId="00CF7ECE" w14:textId="39E97B2F" w:rsidR="009F1F66" w:rsidRDefault="009F1F66">
          <w:r>
            <w:rPr>
              <w:b/>
              <w:bCs/>
              <w:noProof/>
            </w:rPr>
            <w:fldChar w:fldCharType="end"/>
          </w:r>
        </w:p>
      </w:sdtContent>
    </w:sdt>
    <w:p w14:paraId="7462DD33" w14:textId="77777777" w:rsidR="009F1F66" w:rsidRDefault="009F1F66" w:rsidP="0082722E">
      <w:pPr>
        <w:pStyle w:val="NoSpacing"/>
        <w:rPr>
          <w:rFonts w:ascii="Arial" w:hAnsi="Arial" w:cs="Arial"/>
        </w:rPr>
      </w:pPr>
    </w:p>
    <w:p w14:paraId="1D328841" w14:textId="77777777" w:rsidR="008E4370" w:rsidRDefault="008E4370" w:rsidP="0082722E">
      <w:pPr>
        <w:pStyle w:val="NoSpacing"/>
        <w:rPr>
          <w:rFonts w:ascii="Arial" w:hAnsi="Arial" w:cs="Arial"/>
        </w:rPr>
      </w:pPr>
    </w:p>
    <w:p w14:paraId="36A1E89A" w14:textId="77777777" w:rsidR="008E4370" w:rsidRDefault="008E4370" w:rsidP="0082722E">
      <w:pPr>
        <w:pStyle w:val="NoSpacing"/>
        <w:rPr>
          <w:rFonts w:ascii="Arial" w:hAnsi="Arial" w:cs="Arial"/>
        </w:rPr>
      </w:pPr>
    </w:p>
    <w:p w14:paraId="7C651E41" w14:textId="77777777" w:rsidR="008E4370" w:rsidRDefault="008E4370" w:rsidP="0082722E">
      <w:pPr>
        <w:pStyle w:val="NoSpacing"/>
        <w:rPr>
          <w:rFonts w:ascii="Arial" w:hAnsi="Arial" w:cs="Arial"/>
        </w:rPr>
      </w:pPr>
    </w:p>
    <w:p w14:paraId="4E469A4D" w14:textId="77777777" w:rsidR="008E4370" w:rsidRDefault="008E4370" w:rsidP="0082722E">
      <w:pPr>
        <w:pStyle w:val="NoSpacing"/>
        <w:rPr>
          <w:rFonts w:ascii="Arial" w:hAnsi="Arial" w:cs="Arial"/>
        </w:rPr>
      </w:pPr>
    </w:p>
    <w:p w14:paraId="059A4B07" w14:textId="77777777" w:rsidR="008E4370" w:rsidRDefault="008E4370" w:rsidP="0082722E">
      <w:pPr>
        <w:pStyle w:val="NoSpacing"/>
        <w:rPr>
          <w:rFonts w:ascii="Arial" w:hAnsi="Arial" w:cs="Arial"/>
        </w:rPr>
      </w:pPr>
    </w:p>
    <w:p w14:paraId="0B3CF0DC" w14:textId="77777777" w:rsidR="008E4370" w:rsidRDefault="008E4370" w:rsidP="0082722E">
      <w:pPr>
        <w:pStyle w:val="NoSpacing"/>
        <w:rPr>
          <w:rFonts w:ascii="Arial" w:hAnsi="Arial" w:cs="Arial"/>
        </w:rPr>
      </w:pPr>
    </w:p>
    <w:p w14:paraId="3BF0ECEE" w14:textId="77777777" w:rsidR="008E4370" w:rsidRDefault="008E4370" w:rsidP="0082722E">
      <w:pPr>
        <w:pStyle w:val="NoSpacing"/>
        <w:rPr>
          <w:rFonts w:ascii="Arial" w:hAnsi="Arial" w:cs="Arial"/>
        </w:rPr>
      </w:pPr>
    </w:p>
    <w:p w14:paraId="24BE4B77" w14:textId="77777777" w:rsidR="008E4370" w:rsidRDefault="008E4370" w:rsidP="0082722E">
      <w:pPr>
        <w:pStyle w:val="NoSpacing"/>
        <w:rPr>
          <w:rFonts w:ascii="Arial" w:hAnsi="Arial" w:cs="Arial"/>
        </w:rPr>
      </w:pPr>
    </w:p>
    <w:p w14:paraId="3361E860" w14:textId="77777777" w:rsidR="008E4370" w:rsidRDefault="008E4370" w:rsidP="0082722E">
      <w:pPr>
        <w:pStyle w:val="NoSpacing"/>
        <w:rPr>
          <w:rFonts w:ascii="Arial" w:hAnsi="Arial" w:cs="Arial"/>
        </w:rPr>
      </w:pPr>
    </w:p>
    <w:p w14:paraId="4E1C840A" w14:textId="77777777" w:rsidR="008E4370" w:rsidRDefault="008E4370" w:rsidP="0082722E">
      <w:pPr>
        <w:pStyle w:val="NoSpacing"/>
        <w:rPr>
          <w:rFonts w:ascii="Arial" w:hAnsi="Arial" w:cs="Arial"/>
        </w:rPr>
      </w:pPr>
    </w:p>
    <w:p w14:paraId="37025351" w14:textId="77777777" w:rsidR="008E4370" w:rsidRDefault="008E4370" w:rsidP="0082722E">
      <w:pPr>
        <w:pStyle w:val="NoSpacing"/>
        <w:rPr>
          <w:rFonts w:ascii="Arial" w:hAnsi="Arial" w:cs="Arial"/>
        </w:rPr>
      </w:pPr>
    </w:p>
    <w:p w14:paraId="6F43228A" w14:textId="77777777" w:rsidR="008E4370" w:rsidRDefault="008E4370" w:rsidP="0082722E">
      <w:pPr>
        <w:pStyle w:val="NoSpacing"/>
        <w:rPr>
          <w:rFonts w:ascii="Arial" w:hAnsi="Arial" w:cs="Arial"/>
        </w:rPr>
      </w:pPr>
    </w:p>
    <w:p w14:paraId="7D90F959" w14:textId="77777777" w:rsidR="008E4370" w:rsidRDefault="008E4370" w:rsidP="0082722E">
      <w:pPr>
        <w:pStyle w:val="NoSpacing"/>
        <w:rPr>
          <w:rFonts w:ascii="Arial" w:hAnsi="Arial" w:cs="Arial"/>
        </w:rPr>
      </w:pPr>
    </w:p>
    <w:p w14:paraId="3DBAB6DB" w14:textId="77777777" w:rsidR="008E4370" w:rsidRDefault="008E4370" w:rsidP="0082722E">
      <w:pPr>
        <w:pStyle w:val="NoSpacing"/>
        <w:rPr>
          <w:rFonts w:ascii="Arial" w:hAnsi="Arial" w:cs="Arial"/>
        </w:rPr>
      </w:pPr>
    </w:p>
    <w:p w14:paraId="3F05BC36" w14:textId="77777777" w:rsidR="008E4370" w:rsidRDefault="008E4370" w:rsidP="0082722E">
      <w:pPr>
        <w:pStyle w:val="NoSpacing"/>
        <w:rPr>
          <w:rFonts w:ascii="Arial" w:hAnsi="Arial" w:cs="Arial"/>
        </w:rPr>
      </w:pPr>
    </w:p>
    <w:p w14:paraId="5A12367D" w14:textId="77777777" w:rsidR="008E4370" w:rsidRDefault="008E4370" w:rsidP="0082722E">
      <w:pPr>
        <w:pStyle w:val="NoSpacing"/>
        <w:rPr>
          <w:rFonts w:ascii="Arial" w:hAnsi="Arial" w:cs="Arial"/>
        </w:rPr>
      </w:pPr>
    </w:p>
    <w:p w14:paraId="07C12F35" w14:textId="77777777" w:rsidR="008E4370" w:rsidRDefault="008E4370" w:rsidP="0082722E">
      <w:pPr>
        <w:pStyle w:val="NoSpacing"/>
        <w:rPr>
          <w:rFonts w:ascii="Arial" w:hAnsi="Arial" w:cs="Arial"/>
        </w:rPr>
      </w:pPr>
    </w:p>
    <w:p w14:paraId="193CB6E8" w14:textId="77777777" w:rsidR="008E4370" w:rsidRDefault="008E4370" w:rsidP="0082722E">
      <w:pPr>
        <w:pStyle w:val="NoSpacing"/>
        <w:rPr>
          <w:rFonts w:ascii="Arial" w:hAnsi="Arial" w:cs="Arial"/>
        </w:rPr>
      </w:pPr>
    </w:p>
    <w:p w14:paraId="4941B407" w14:textId="77777777" w:rsidR="001C4017" w:rsidRDefault="001C4017" w:rsidP="0082722E">
      <w:pPr>
        <w:pStyle w:val="NoSpacing"/>
        <w:rPr>
          <w:rFonts w:ascii="Arial" w:hAnsi="Arial" w:cs="Arial"/>
        </w:rPr>
      </w:pPr>
    </w:p>
    <w:p w14:paraId="78A450E6" w14:textId="77777777" w:rsidR="001C4017" w:rsidRDefault="001C4017" w:rsidP="0082722E">
      <w:pPr>
        <w:pStyle w:val="NoSpacing"/>
        <w:rPr>
          <w:rFonts w:ascii="Arial" w:hAnsi="Arial" w:cs="Arial"/>
        </w:rPr>
      </w:pPr>
    </w:p>
    <w:p w14:paraId="52C07805" w14:textId="77777777" w:rsidR="001C4017" w:rsidRDefault="001C4017" w:rsidP="0082722E">
      <w:pPr>
        <w:pStyle w:val="NoSpacing"/>
        <w:rPr>
          <w:rFonts w:ascii="Arial" w:hAnsi="Arial" w:cs="Arial"/>
        </w:rPr>
      </w:pPr>
    </w:p>
    <w:p w14:paraId="3CC94A62" w14:textId="77777777" w:rsidR="001C4017" w:rsidRDefault="001C4017" w:rsidP="0082722E">
      <w:pPr>
        <w:pStyle w:val="NoSpacing"/>
        <w:rPr>
          <w:rFonts w:ascii="Arial" w:hAnsi="Arial" w:cs="Arial"/>
        </w:rPr>
      </w:pPr>
    </w:p>
    <w:p w14:paraId="11376107" w14:textId="77777777" w:rsidR="001C4017" w:rsidRDefault="001C4017" w:rsidP="0082722E">
      <w:pPr>
        <w:pStyle w:val="NoSpacing"/>
        <w:rPr>
          <w:rFonts w:ascii="Arial" w:hAnsi="Arial" w:cs="Arial"/>
        </w:rPr>
      </w:pPr>
    </w:p>
    <w:p w14:paraId="149211B4" w14:textId="77777777" w:rsidR="001C4017" w:rsidRDefault="001C4017" w:rsidP="0082722E">
      <w:pPr>
        <w:pStyle w:val="NoSpacing"/>
        <w:rPr>
          <w:rFonts w:ascii="Arial" w:hAnsi="Arial" w:cs="Arial"/>
        </w:rPr>
      </w:pPr>
    </w:p>
    <w:p w14:paraId="42BDD6CB" w14:textId="281CC6E7" w:rsidR="0082722E" w:rsidRPr="001C4017" w:rsidRDefault="00190AC9" w:rsidP="0082722E">
      <w:pPr>
        <w:pStyle w:val="NoSpacing"/>
        <w:rPr>
          <w:rFonts w:cs="Calibri"/>
        </w:rPr>
      </w:pPr>
      <w:r w:rsidRPr="001C4017">
        <w:rPr>
          <w:rFonts w:cs="Calibri"/>
        </w:rPr>
        <w:br w:type="page"/>
      </w:r>
    </w:p>
    <w:p w14:paraId="07E610A0" w14:textId="77777777" w:rsidR="00190AC9" w:rsidRPr="00A72B8D" w:rsidRDefault="00190AC9" w:rsidP="00126173">
      <w:pPr>
        <w:pStyle w:val="Heading2"/>
        <w:rPr>
          <w:color w:val="auto"/>
        </w:rPr>
      </w:pPr>
      <w:bookmarkStart w:id="0" w:name="_Toc24452770"/>
      <w:bookmarkStart w:id="1" w:name="_Toc161647985"/>
      <w:r w:rsidRPr="00A72B8D">
        <w:rPr>
          <w:color w:val="auto"/>
        </w:rPr>
        <w:lastRenderedPageBreak/>
        <w:t>1.     Policy</w:t>
      </w:r>
      <w:bookmarkEnd w:id="0"/>
      <w:r w:rsidR="002F3DCB" w:rsidRPr="00A72B8D">
        <w:rPr>
          <w:color w:val="auto"/>
        </w:rPr>
        <w:t xml:space="preserve"> Summary</w:t>
      </w:r>
      <w:bookmarkEnd w:id="1"/>
    </w:p>
    <w:p w14:paraId="20188CAA" w14:textId="77777777" w:rsidR="002E2FA1" w:rsidRPr="00A72B8D" w:rsidRDefault="002E2FA1" w:rsidP="00724D32">
      <w:pPr>
        <w:pStyle w:val="NoSpacing"/>
        <w:rPr>
          <w:rFonts w:ascii="Arial" w:hAnsi="Arial" w:cs="Arial"/>
        </w:rPr>
      </w:pPr>
    </w:p>
    <w:p w14:paraId="68D9149F" w14:textId="71094AA1" w:rsidR="0082722E" w:rsidRPr="00A72B8D" w:rsidRDefault="002F3DCB" w:rsidP="00854732">
      <w:pPr>
        <w:pStyle w:val="NoSpacing"/>
        <w:numPr>
          <w:ilvl w:val="0"/>
          <w:numId w:val="16"/>
        </w:numPr>
        <w:spacing w:before="240" w:after="120"/>
        <w:ind w:hanging="720"/>
        <w:rPr>
          <w:rFonts w:cs="Calibri"/>
        </w:rPr>
      </w:pPr>
      <w:proofErr w:type="gramStart"/>
      <w:r w:rsidRPr="00A72B8D">
        <w:rPr>
          <w:rFonts w:cs="Calibri"/>
        </w:rPr>
        <w:t>N</w:t>
      </w:r>
      <w:r w:rsidR="00F54EF6" w:rsidRPr="00A72B8D">
        <w:rPr>
          <w:rFonts w:cs="Calibri"/>
        </w:rPr>
        <w:t>orth West</w:t>
      </w:r>
      <w:proofErr w:type="gramEnd"/>
      <w:r w:rsidR="00F54EF6" w:rsidRPr="00A72B8D">
        <w:rPr>
          <w:rFonts w:cs="Calibri"/>
        </w:rPr>
        <w:t xml:space="preserve"> Leicestershire District Council (NWLDC) </w:t>
      </w:r>
      <w:r w:rsidRPr="00A72B8D">
        <w:rPr>
          <w:rFonts w:cs="Calibri"/>
        </w:rPr>
        <w:t>is committed to providing high-quality service</w:t>
      </w:r>
      <w:r w:rsidR="00A72B8D" w:rsidRPr="00A72B8D">
        <w:rPr>
          <w:rFonts w:cs="Calibri"/>
        </w:rPr>
        <w:t>s</w:t>
      </w:r>
      <w:r w:rsidRPr="00A72B8D">
        <w:rPr>
          <w:rFonts w:cs="Calibri"/>
        </w:rPr>
        <w:t xml:space="preserve"> but recognises that there may be, on occasion, scenarios that result in our service failing or falling below the standards set out in our </w:t>
      </w:r>
      <w:r w:rsidR="00A72B8D" w:rsidRPr="00A72B8D">
        <w:rPr>
          <w:rFonts w:cs="Calibri"/>
        </w:rPr>
        <w:t>polices</w:t>
      </w:r>
      <w:r w:rsidRPr="00A72B8D">
        <w:rPr>
          <w:rFonts w:cs="Calibri"/>
        </w:rPr>
        <w:t xml:space="preserve">.  On occasions such as this and where the </w:t>
      </w:r>
      <w:r w:rsidR="0009776C" w:rsidRPr="00A72B8D">
        <w:rPr>
          <w:rFonts w:cs="Calibri"/>
        </w:rPr>
        <w:t>tenant</w:t>
      </w:r>
      <w:r w:rsidRPr="00A72B8D">
        <w:rPr>
          <w:rFonts w:cs="Calibri"/>
        </w:rPr>
        <w:t xml:space="preserve"> </w:t>
      </w:r>
      <w:r w:rsidR="00F54EF6" w:rsidRPr="00A72B8D">
        <w:rPr>
          <w:rFonts w:cs="Calibri"/>
        </w:rPr>
        <w:t>has</w:t>
      </w:r>
      <w:r w:rsidRPr="00A72B8D">
        <w:rPr>
          <w:rFonts w:cs="Calibri"/>
        </w:rPr>
        <w:t xml:space="preserve"> been disadvantaged or suffers financial loss and liability is accepted by NWLDC compensation may be appropriate</w:t>
      </w:r>
      <w:r w:rsidR="00F54EF6" w:rsidRPr="00A72B8D">
        <w:rPr>
          <w:rFonts w:cs="Calibri"/>
        </w:rPr>
        <w:t>.</w:t>
      </w:r>
    </w:p>
    <w:p w14:paraId="6AF900CF" w14:textId="77777777" w:rsidR="0082722E" w:rsidRPr="00A72B8D" w:rsidRDefault="00F54EF6" w:rsidP="00854732">
      <w:pPr>
        <w:pStyle w:val="NoSpacing"/>
        <w:numPr>
          <w:ilvl w:val="1"/>
          <w:numId w:val="15"/>
        </w:numPr>
        <w:spacing w:before="240" w:after="120"/>
        <w:ind w:hanging="720"/>
        <w:rPr>
          <w:rFonts w:ascii="Arial" w:hAnsi="Arial" w:cs="Arial"/>
        </w:rPr>
      </w:pPr>
      <w:r w:rsidRPr="00A72B8D">
        <w:rPr>
          <w:rFonts w:cs="Calibri"/>
        </w:rPr>
        <w:t>This policy</w:t>
      </w:r>
      <w:r w:rsidR="002F3DCB" w:rsidRPr="00A72B8D">
        <w:rPr>
          <w:rFonts w:cs="Calibri"/>
        </w:rPr>
        <w:t xml:space="preserve"> sets out the grounds and basis upon which compensation may be awarded</w:t>
      </w:r>
      <w:r w:rsidR="0009776C" w:rsidRPr="00A72B8D">
        <w:rPr>
          <w:rFonts w:cs="Calibri"/>
        </w:rPr>
        <w:t xml:space="preserve"> and is applicable to all tenants of NWLDC.</w:t>
      </w:r>
      <w:r w:rsidRPr="00A72B8D">
        <w:rPr>
          <w:rFonts w:cs="Calibri"/>
        </w:rPr>
        <w:t xml:space="preserve"> </w:t>
      </w:r>
    </w:p>
    <w:p w14:paraId="6DA0F85D" w14:textId="77777777" w:rsidR="0009776C" w:rsidRPr="00A72B8D" w:rsidRDefault="009521EE" w:rsidP="00854732">
      <w:pPr>
        <w:pStyle w:val="NoSpacing"/>
        <w:numPr>
          <w:ilvl w:val="1"/>
          <w:numId w:val="15"/>
        </w:numPr>
        <w:spacing w:before="240" w:after="100" w:afterAutospacing="1"/>
        <w:ind w:hanging="720"/>
        <w:rPr>
          <w:rFonts w:cs="Calibri"/>
        </w:rPr>
      </w:pPr>
      <w:r w:rsidRPr="00A72B8D">
        <w:rPr>
          <w:rFonts w:cs="Calibri"/>
        </w:rPr>
        <w:t xml:space="preserve">NWLDC will adopt a tenant focused approach using a variety of remedies to ensure the situation is corrected, in some instances it is recognised that financial compensation may be appropriate as a form of redress.    </w:t>
      </w:r>
    </w:p>
    <w:p w14:paraId="5364E8AB" w14:textId="77777777" w:rsidR="00190AC9" w:rsidRPr="00A72B8D" w:rsidRDefault="00190AC9" w:rsidP="00126173">
      <w:pPr>
        <w:pStyle w:val="Heading2"/>
        <w:rPr>
          <w:color w:val="auto"/>
        </w:rPr>
      </w:pPr>
      <w:bookmarkStart w:id="2" w:name="_Toc161647986"/>
      <w:bookmarkStart w:id="3" w:name="_Toc24452771"/>
      <w:r w:rsidRPr="00A72B8D">
        <w:rPr>
          <w:color w:val="auto"/>
        </w:rPr>
        <w:t xml:space="preserve">2.     </w:t>
      </w:r>
      <w:r w:rsidR="009521EE" w:rsidRPr="00A72B8D">
        <w:rPr>
          <w:color w:val="auto"/>
        </w:rPr>
        <w:t>Policy Objectives</w:t>
      </w:r>
      <w:bookmarkEnd w:id="2"/>
      <w:r w:rsidRPr="00A72B8D">
        <w:rPr>
          <w:color w:val="auto"/>
        </w:rPr>
        <w:t xml:space="preserve"> </w:t>
      </w:r>
      <w:bookmarkEnd w:id="3"/>
    </w:p>
    <w:p w14:paraId="613EBCB7" w14:textId="77777777" w:rsidR="00190AC9" w:rsidRPr="00A72B8D" w:rsidRDefault="00190AC9" w:rsidP="00190AC9">
      <w:pPr>
        <w:pStyle w:val="BodyText"/>
        <w:jc w:val="both"/>
        <w:rPr>
          <w:rFonts w:ascii="Calibri" w:hAnsi="Calibri" w:cs="Calibri"/>
          <w:b w:val="0"/>
          <w:bCs w:val="0"/>
          <w:sz w:val="22"/>
          <w:szCs w:val="22"/>
        </w:rPr>
      </w:pPr>
    </w:p>
    <w:p w14:paraId="3EDA9518" w14:textId="6D3BD6EF" w:rsidR="00190AC9" w:rsidRPr="00A72B8D" w:rsidRDefault="00190AC9" w:rsidP="005832BD">
      <w:pPr>
        <w:pStyle w:val="BodyText"/>
        <w:ind w:left="709" w:hanging="709"/>
        <w:jc w:val="both"/>
        <w:rPr>
          <w:rFonts w:ascii="Calibri" w:hAnsi="Calibri" w:cs="Calibri"/>
          <w:b w:val="0"/>
          <w:bCs w:val="0"/>
          <w:sz w:val="22"/>
          <w:szCs w:val="22"/>
        </w:rPr>
      </w:pPr>
      <w:r w:rsidRPr="00A72B8D">
        <w:rPr>
          <w:rFonts w:ascii="Calibri" w:hAnsi="Calibri" w:cs="Calibri"/>
          <w:b w:val="0"/>
          <w:bCs w:val="0"/>
          <w:sz w:val="22"/>
          <w:szCs w:val="22"/>
        </w:rPr>
        <w:t>2.1</w:t>
      </w:r>
      <w:r w:rsidRPr="00A72B8D">
        <w:rPr>
          <w:rFonts w:ascii="Calibri" w:hAnsi="Calibri" w:cs="Calibri"/>
          <w:b w:val="0"/>
          <w:bCs w:val="0"/>
          <w:sz w:val="22"/>
          <w:szCs w:val="22"/>
        </w:rPr>
        <w:tab/>
        <w:t xml:space="preserve">This policy </w:t>
      </w:r>
      <w:r w:rsidR="0086545F" w:rsidRPr="00A72B8D">
        <w:rPr>
          <w:rFonts w:ascii="Calibri" w:hAnsi="Calibri" w:cs="Calibri"/>
          <w:b w:val="0"/>
          <w:bCs w:val="0"/>
          <w:sz w:val="22"/>
          <w:szCs w:val="22"/>
        </w:rPr>
        <w:t xml:space="preserve">applies to all </w:t>
      </w:r>
      <w:proofErr w:type="gramStart"/>
      <w:r w:rsidR="0086545F" w:rsidRPr="00A72B8D">
        <w:rPr>
          <w:rFonts w:ascii="Calibri" w:hAnsi="Calibri" w:cs="Calibri"/>
          <w:b w:val="0"/>
          <w:bCs w:val="0"/>
          <w:sz w:val="22"/>
          <w:szCs w:val="22"/>
        </w:rPr>
        <w:t>North West</w:t>
      </w:r>
      <w:proofErr w:type="gramEnd"/>
      <w:r w:rsidR="0086545F" w:rsidRPr="00A72B8D">
        <w:rPr>
          <w:rFonts w:ascii="Calibri" w:hAnsi="Calibri" w:cs="Calibri"/>
          <w:b w:val="0"/>
          <w:bCs w:val="0"/>
          <w:sz w:val="22"/>
          <w:szCs w:val="22"/>
        </w:rPr>
        <w:t xml:space="preserve"> Leicestershire District Council tenant</w:t>
      </w:r>
      <w:r w:rsidR="005832BD" w:rsidRPr="00A72B8D">
        <w:rPr>
          <w:rFonts w:ascii="Calibri" w:hAnsi="Calibri" w:cs="Calibri"/>
          <w:b w:val="0"/>
          <w:bCs w:val="0"/>
          <w:sz w:val="22"/>
          <w:szCs w:val="22"/>
        </w:rPr>
        <w:t>s and where appropriate leaseholders</w:t>
      </w:r>
      <w:r w:rsidR="00A72B8D" w:rsidRPr="00A72B8D">
        <w:rPr>
          <w:rFonts w:ascii="Calibri" w:hAnsi="Calibri" w:cs="Calibri"/>
          <w:b w:val="0"/>
          <w:bCs w:val="0"/>
          <w:sz w:val="22"/>
          <w:szCs w:val="22"/>
        </w:rPr>
        <w:t xml:space="preserve"> and other customers</w:t>
      </w:r>
      <w:r w:rsidR="0086545F" w:rsidRPr="00A72B8D">
        <w:rPr>
          <w:rFonts w:ascii="Calibri" w:hAnsi="Calibri" w:cs="Calibri"/>
          <w:b w:val="0"/>
          <w:bCs w:val="0"/>
          <w:sz w:val="22"/>
          <w:szCs w:val="22"/>
        </w:rPr>
        <w:t>.</w:t>
      </w:r>
      <w:r w:rsidRPr="00A72B8D">
        <w:rPr>
          <w:rFonts w:ascii="Calibri" w:hAnsi="Calibri" w:cs="Calibri"/>
          <w:b w:val="0"/>
          <w:bCs w:val="0"/>
          <w:sz w:val="22"/>
          <w:szCs w:val="22"/>
        </w:rPr>
        <w:t xml:space="preserve"> </w:t>
      </w:r>
    </w:p>
    <w:p w14:paraId="629680AD" w14:textId="77777777" w:rsidR="0086545F" w:rsidRPr="00A72B8D" w:rsidRDefault="0086545F" w:rsidP="0086545F">
      <w:pPr>
        <w:pStyle w:val="BodyText"/>
        <w:jc w:val="both"/>
        <w:rPr>
          <w:rFonts w:ascii="Calibri" w:hAnsi="Calibri" w:cs="Calibri"/>
          <w:b w:val="0"/>
          <w:bCs w:val="0"/>
          <w:sz w:val="22"/>
          <w:szCs w:val="22"/>
        </w:rPr>
      </w:pPr>
    </w:p>
    <w:p w14:paraId="42D34736" w14:textId="5876FD50" w:rsidR="0086545F" w:rsidRPr="00A72B8D" w:rsidRDefault="0086545F" w:rsidP="0086545F">
      <w:pPr>
        <w:pStyle w:val="BodyText"/>
        <w:ind w:left="709" w:hanging="709"/>
        <w:jc w:val="both"/>
        <w:rPr>
          <w:rFonts w:ascii="Calibri" w:hAnsi="Calibri" w:cs="Calibri"/>
          <w:b w:val="0"/>
          <w:bCs w:val="0"/>
          <w:sz w:val="22"/>
          <w:szCs w:val="22"/>
        </w:rPr>
      </w:pPr>
      <w:r w:rsidRPr="00A72B8D">
        <w:rPr>
          <w:rFonts w:ascii="Calibri" w:hAnsi="Calibri" w:cs="Calibri"/>
          <w:b w:val="0"/>
          <w:bCs w:val="0"/>
          <w:sz w:val="22"/>
          <w:szCs w:val="22"/>
        </w:rPr>
        <w:t xml:space="preserve">2.2     </w:t>
      </w:r>
      <w:r w:rsidR="005832BD" w:rsidRPr="00A72B8D">
        <w:rPr>
          <w:rFonts w:ascii="Calibri" w:hAnsi="Calibri" w:cs="Calibri"/>
          <w:b w:val="0"/>
          <w:bCs w:val="0"/>
          <w:sz w:val="22"/>
          <w:szCs w:val="22"/>
        </w:rPr>
        <w:tab/>
      </w:r>
      <w:r w:rsidRPr="00A72B8D">
        <w:rPr>
          <w:rFonts w:ascii="Calibri" w:hAnsi="Calibri" w:cs="Calibri"/>
          <w:b w:val="0"/>
          <w:bCs w:val="0"/>
          <w:sz w:val="22"/>
          <w:szCs w:val="22"/>
        </w:rPr>
        <w:t xml:space="preserve">The policy provides a framework that allows for consistent, justifiable, and transparent decision making in relation to compensation payments.  </w:t>
      </w:r>
    </w:p>
    <w:p w14:paraId="3E5FBEB4" w14:textId="77777777" w:rsidR="0086545F" w:rsidRPr="00A72B8D" w:rsidRDefault="0086545F" w:rsidP="0086545F">
      <w:pPr>
        <w:pStyle w:val="BodyText"/>
        <w:ind w:left="709" w:hanging="709"/>
        <w:jc w:val="both"/>
        <w:rPr>
          <w:rFonts w:ascii="Calibri" w:hAnsi="Calibri" w:cs="Calibri"/>
          <w:b w:val="0"/>
          <w:bCs w:val="0"/>
          <w:sz w:val="22"/>
          <w:szCs w:val="22"/>
        </w:rPr>
      </w:pPr>
    </w:p>
    <w:p w14:paraId="7A23E24B" w14:textId="77777777" w:rsidR="0086545F" w:rsidRPr="00A72B8D" w:rsidRDefault="0086545F" w:rsidP="0086545F">
      <w:pPr>
        <w:pStyle w:val="BodyText"/>
        <w:ind w:left="709" w:hanging="709"/>
        <w:jc w:val="both"/>
        <w:rPr>
          <w:rFonts w:ascii="Calibri" w:hAnsi="Calibri" w:cs="Calibri"/>
          <w:b w:val="0"/>
          <w:bCs w:val="0"/>
          <w:sz w:val="22"/>
          <w:szCs w:val="22"/>
        </w:rPr>
      </w:pPr>
      <w:r w:rsidRPr="00A72B8D">
        <w:rPr>
          <w:rFonts w:ascii="Calibri" w:hAnsi="Calibri" w:cs="Calibri"/>
          <w:b w:val="0"/>
          <w:bCs w:val="0"/>
          <w:sz w:val="22"/>
          <w:szCs w:val="22"/>
        </w:rPr>
        <w:t>2.3</w:t>
      </w:r>
      <w:r w:rsidRPr="00A72B8D">
        <w:rPr>
          <w:rFonts w:ascii="Calibri" w:hAnsi="Calibri" w:cs="Calibri"/>
          <w:b w:val="0"/>
          <w:bCs w:val="0"/>
          <w:sz w:val="22"/>
          <w:szCs w:val="22"/>
        </w:rPr>
        <w:tab/>
        <w:t>Through th</w:t>
      </w:r>
      <w:r w:rsidR="00F11C6C" w:rsidRPr="00A72B8D">
        <w:rPr>
          <w:rFonts w:ascii="Calibri" w:hAnsi="Calibri" w:cs="Calibri"/>
          <w:b w:val="0"/>
          <w:bCs w:val="0"/>
          <w:sz w:val="22"/>
          <w:szCs w:val="22"/>
        </w:rPr>
        <w:t>e</w:t>
      </w:r>
      <w:r w:rsidRPr="00A72B8D">
        <w:rPr>
          <w:rFonts w:ascii="Calibri" w:hAnsi="Calibri" w:cs="Calibri"/>
          <w:b w:val="0"/>
          <w:bCs w:val="0"/>
          <w:sz w:val="22"/>
          <w:szCs w:val="22"/>
        </w:rPr>
        <w:t xml:space="preserve"> </w:t>
      </w:r>
      <w:r w:rsidR="00F11C6C" w:rsidRPr="00A72B8D">
        <w:rPr>
          <w:rFonts w:ascii="Calibri" w:hAnsi="Calibri" w:cs="Calibri"/>
          <w:b w:val="0"/>
          <w:bCs w:val="0"/>
          <w:sz w:val="22"/>
          <w:szCs w:val="22"/>
        </w:rPr>
        <w:t xml:space="preserve">consistent application of this </w:t>
      </w:r>
      <w:r w:rsidRPr="00A72B8D">
        <w:rPr>
          <w:rFonts w:ascii="Calibri" w:hAnsi="Calibri" w:cs="Calibri"/>
          <w:b w:val="0"/>
          <w:bCs w:val="0"/>
          <w:sz w:val="22"/>
          <w:szCs w:val="22"/>
        </w:rPr>
        <w:t>policy</w:t>
      </w:r>
      <w:r w:rsidR="00F11C6C" w:rsidRPr="00A72B8D">
        <w:rPr>
          <w:rFonts w:ascii="Calibri" w:hAnsi="Calibri" w:cs="Calibri"/>
          <w:b w:val="0"/>
          <w:bCs w:val="0"/>
          <w:sz w:val="22"/>
          <w:szCs w:val="22"/>
        </w:rPr>
        <w:t xml:space="preserve"> NWLDC will ensure that all application payments are fair and proportionate in relation to the individual circumstances of the case. </w:t>
      </w:r>
    </w:p>
    <w:p w14:paraId="4DAD4E75" w14:textId="77777777" w:rsidR="00693A64" w:rsidRPr="00A72B8D" w:rsidRDefault="00693A64" w:rsidP="0086545F">
      <w:pPr>
        <w:pStyle w:val="BodyText"/>
        <w:ind w:left="709" w:hanging="709"/>
        <w:jc w:val="both"/>
        <w:rPr>
          <w:rFonts w:ascii="Calibri" w:hAnsi="Calibri" w:cs="Calibri"/>
          <w:b w:val="0"/>
          <w:bCs w:val="0"/>
          <w:sz w:val="22"/>
          <w:szCs w:val="22"/>
        </w:rPr>
      </w:pPr>
    </w:p>
    <w:p w14:paraId="0CA7B80C" w14:textId="0FF7C0F0" w:rsidR="00693A64" w:rsidRPr="00A72B8D" w:rsidRDefault="00F11C6C" w:rsidP="0086545F">
      <w:pPr>
        <w:pStyle w:val="BodyText"/>
        <w:ind w:left="709" w:hanging="709"/>
        <w:jc w:val="both"/>
        <w:rPr>
          <w:rFonts w:ascii="Calibri" w:hAnsi="Calibri" w:cs="Calibri"/>
          <w:b w:val="0"/>
          <w:bCs w:val="0"/>
          <w:sz w:val="22"/>
          <w:szCs w:val="22"/>
        </w:rPr>
      </w:pPr>
      <w:r w:rsidRPr="00A72B8D">
        <w:rPr>
          <w:rFonts w:ascii="Calibri" w:hAnsi="Calibri" w:cs="Calibri"/>
          <w:b w:val="0"/>
          <w:bCs w:val="0"/>
          <w:sz w:val="22"/>
          <w:szCs w:val="22"/>
        </w:rPr>
        <w:t>2.4</w:t>
      </w:r>
      <w:r w:rsidR="00693A64" w:rsidRPr="00A72B8D">
        <w:rPr>
          <w:rFonts w:ascii="Calibri" w:hAnsi="Calibri" w:cs="Calibri"/>
          <w:b w:val="0"/>
          <w:bCs w:val="0"/>
          <w:sz w:val="22"/>
          <w:szCs w:val="22"/>
        </w:rPr>
        <w:tab/>
        <w:t xml:space="preserve">Whilst this policy </w:t>
      </w:r>
      <w:r w:rsidR="005832BD" w:rsidRPr="00A72B8D">
        <w:rPr>
          <w:rFonts w:ascii="Calibri" w:hAnsi="Calibri" w:cs="Calibri"/>
          <w:b w:val="0"/>
          <w:bCs w:val="0"/>
          <w:sz w:val="22"/>
          <w:szCs w:val="22"/>
        </w:rPr>
        <w:t>focuses on</w:t>
      </w:r>
      <w:r w:rsidR="00693A64" w:rsidRPr="00A72B8D">
        <w:rPr>
          <w:rFonts w:ascii="Calibri" w:hAnsi="Calibri" w:cs="Calibri"/>
          <w:b w:val="0"/>
          <w:bCs w:val="0"/>
          <w:sz w:val="22"/>
          <w:szCs w:val="22"/>
        </w:rPr>
        <w:t xml:space="preserve"> consistency, NWLDC also recognises that a flexible approach to appropriate compensation </w:t>
      </w:r>
      <w:r w:rsidR="005832BD" w:rsidRPr="00A72B8D">
        <w:rPr>
          <w:rFonts w:ascii="Calibri" w:hAnsi="Calibri" w:cs="Calibri"/>
          <w:b w:val="0"/>
          <w:bCs w:val="0"/>
          <w:sz w:val="22"/>
          <w:szCs w:val="22"/>
        </w:rPr>
        <w:t xml:space="preserve">will be </w:t>
      </w:r>
      <w:r w:rsidR="00693A64" w:rsidRPr="00A72B8D">
        <w:rPr>
          <w:rFonts w:ascii="Calibri" w:hAnsi="Calibri" w:cs="Calibri"/>
          <w:b w:val="0"/>
          <w:bCs w:val="0"/>
          <w:sz w:val="22"/>
          <w:szCs w:val="22"/>
        </w:rPr>
        <w:t>needed</w:t>
      </w:r>
      <w:r w:rsidR="005832BD" w:rsidRPr="00A72B8D">
        <w:rPr>
          <w:rFonts w:ascii="Calibri" w:hAnsi="Calibri" w:cs="Calibri"/>
          <w:b w:val="0"/>
          <w:bCs w:val="0"/>
          <w:sz w:val="22"/>
          <w:szCs w:val="22"/>
        </w:rPr>
        <w:t xml:space="preserve"> because of the unique nature of each case</w:t>
      </w:r>
      <w:r w:rsidR="00693A64" w:rsidRPr="00A72B8D">
        <w:rPr>
          <w:rFonts w:ascii="Calibri" w:hAnsi="Calibri" w:cs="Calibri"/>
          <w:b w:val="0"/>
          <w:bCs w:val="0"/>
          <w:sz w:val="22"/>
          <w:szCs w:val="22"/>
        </w:rPr>
        <w:t xml:space="preserve">. Each claim will be considered individually </w:t>
      </w:r>
      <w:r w:rsidR="005832BD" w:rsidRPr="00A72B8D">
        <w:rPr>
          <w:rFonts w:ascii="Calibri" w:hAnsi="Calibri" w:cs="Calibri"/>
          <w:b w:val="0"/>
          <w:bCs w:val="0"/>
          <w:sz w:val="22"/>
          <w:szCs w:val="22"/>
        </w:rPr>
        <w:t xml:space="preserve">on its merits having regard to </w:t>
      </w:r>
      <w:r w:rsidR="00693A64" w:rsidRPr="00A72B8D">
        <w:rPr>
          <w:rFonts w:ascii="Calibri" w:hAnsi="Calibri" w:cs="Calibri"/>
          <w:b w:val="0"/>
          <w:bCs w:val="0"/>
          <w:sz w:val="22"/>
          <w:szCs w:val="22"/>
        </w:rPr>
        <w:t xml:space="preserve">all factors. </w:t>
      </w:r>
    </w:p>
    <w:p w14:paraId="194C5A29" w14:textId="77777777" w:rsidR="00693A64" w:rsidRPr="00A72B8D" w:rsidRDefault="00693A64" w:rsidP="0086545F">
      <w:pPr>
        <w:pStyle w:val="BodyText"/>
        <w:ind w:left="709" w:hanging="709"/>
        <w:jc w:val="both"/>
        <w:rPr>
          <w:rFonts w:ascii="Calibri" w:hAnsi="Calibri" w:cs="Calibri"/>
          <w:b w:val="0"/>
          <w:bCs w:val="0"/>
          <w:sz w:val="22"/>
          <w:szCs w:val="22"/>
        </w:rPr>
      </w:pPr>
    </w:p>
    <w:p w14:paraId="212B9A68" w14:textId="59D718E0" w:rsidR="00F11C6C" w:rsidRPr="00352187" w:rsidRDefault="00693A64" w:rsidP="0086545F">
      <w:pPr>
        <w:pStyle w:val="BodyText"/>
        <w:ind w:left="709" w:hanging="709"/>
        <w:jc w:val="both"/>
        <w:rPr>
          <w:rFonts w:ascii="Calibri" w:hAnsi="Calibri" w:cs="Calibri"/>
          <w:b w:val="0"/>
          <w:bCs w:val="0"/>
          <w:color w:val="FF0000"/>
          <w:sz w:val="22"/>
          <w:szCs w:val="22"/>
        </w:rPr>
      </w:pPr>
      <w:r w:rsidRPr="00A72B8D">
        <w:rPr>
          <w:rFonts w:ascii="Calibri" w:hAnsi="Calibri" w:cs="Calibri"/>
          <w:b w:val="0"/>
          <w:bCs w:val="0"/>
          <w:sz w:val="22"/>
          <w:szCs w:val="22"/>
        </w:rPr>
        <w:t>2.5</w:t>
      </w:r>
      <w:r w:rsidRPr="00A72B8D">
        <w:rPr>
          <w:rFonts w:ascii="Calibri" w:hAnsi="Calibri" w:cs="Calibri"/>
          <w:b w:val="0"/>
          <w:bCs w:val="0"/>
          <w:sz w:val="22"/>
          <w:szCs w:val="22"/>
        </w:rPr>
        <w:tab/>
      </w:r>
      <w:r w:rsidR="00854732" w:rsidRPr="00A72B8D">
        <w:rPr>
          <w:rFonts w:ascii="Calibri" w:hAnsi="Calibri" w:cs="Calibri"/>
          <w:b w:val="0"/>
          <w:bCs w:val="0"/>
          <w:sz w:val="22"/>
          <w:szCs w:val="22"/>
        </w:rPr>
        <w:t>NWLDC will liaise with and adhere to compensation reviews and recommendations made by the Housing Ombudsman</w:t>
      </w:r>
      <w:r w:rsidR="005832BD" w:rsidRPr="00A72B8D">
        <w:rPr>
          <w:rFonts w:ascii="Calibri" w:hAnsi="Calibri" w:cs="Calibri"/>
          <w:b w:val="0"/>
          <w:bCs w:val="0"/>
          <w:sz w:val="22"/>
          <w:szCs w:val="22"/>
        </w:rPr>
        <w:t xml:space="preserve"> and this policy is intended to compliment the work of the ombudsman</w:t>
      </w:r>
      <w:r w:rsidR="00854732" w:rsidRPr="00A72B8D">
        <w:rPr>
          <w:rFonts w:ascii="Calibri" w:hAnsi="Calibri" w:cs="Calibri"/>
          <w:b w:val="0"/>
          <w:bCs w:val="0"/>
          <w:sz w:val="22"/>
          <w:szCs w:val="22"/>
        </w:rPr>
        <w:t>.</w:t>
      </w:r>
      <w:r w:rsidR="00F11C6C" w:rsidRPr="00352187">
        <w:rPr>
          <w:rFonts w:ascii="Calibri" w:hAnsi="Calibri" w:cs="Calibri"/>
          <w:b w:val="0"/>
          <w:bCs w:val="0"/>
          <w:color w:val="FF0000"/>
          <w:sz w:val="22"/>
          <w:szCs w:val="22"/>
        </w:rPr>
        <w:tab/>
      </w:r>
    </w:p>
    <w:p w14:paraId="20CF5483" w14:textId="77777777" w:rsidR="00693A64" w:rsidRPr="00352187" w:rsidRDefault="00693A64" w:rsidP="0086545F">
      <w:pPr>
        <w:pStyle w:val="BodyText"/>
        <w:ind w:left="709" w:hanging="709"/>
        <w:jc w:val="both"/>
        <w:rPr>
          <w:rFonts w:ascii="Calibri" w:hAnsi="Calibri" w:cs="Calibri"/>
          <w:b w:val="0"/>
          <w:bCs w:val="0"/>
          <w:color w:val="FF0000"/>
          <w:sz w:val="22"/>
          <w:szCs w:val="22"/>
        </w:rPr>
      </w:pPr>
    </w:p>
    <w:p w14:paraId="4CE9D911" w14:textId="77777777" w:rsidR="0086545F" w:rsidRPr="00A72B8D" w:rsidRDefault="0086545F" w:rsidP="00190AC9">
      <w:pPr>
        <w:pStyle w:val="BodyText"/>
        <w:ind w:left="540" w:hanging="540"/>
        <w:jc w:val="both"/>
        <w:rPr>
          <w:rFonts w:ascii="Calibri" w:hAnsi="Calibri" w:cs="Calibri"/>
          <w:b w:val="0"/>
          <w:bCs w:val="0"/>
          <w:sz w:val="22"/>
          <w:szCs w:val="22"/>
        </w:rPr>
      </w:pPr>
    </w:p>
    <w:p w14:paraId="423932D9" w14:textId="77777777" w:rsidR="00190AC9" w:rsidRPr="00A72B8D" w:rsidRDefault="004B1D79" w:rsidP="00126173">
      <w:pPr>
        <w:pStyle w:val="Heading2"/>
        <w:rPr>
          <w:color w:val="auto"/>
        </w:rPr>
      </w:pPr>
      <w:bookmarkStart w:id="4" w:name="_Toc161647987"/>
      <w:r w:rsidRPr="00A72B8D">
        <w:rPr>
          <w:color w:val="auto"/>
        </w:rPr>
        <w:t>3.</w:t>
      </w:r>
      <w:r w:rsidR="00190AC9" w:rsidRPr="00A72B8D">
        <w:rPr>
          <w:color w:val="auto"/>
        </w:rPr>
        <w:t xml:space="preserve">     Policy</w:t>
      </w:r>
      <w:r w:rsidR="000B3C4B" w:rsidRPr="00A72B8D">
        <w:rPr>
          <w:color w:val="auto"/>
        </w:rPr>
        <w:t xml:space="preserve"> Scope</w:t>
      </w:r>
      <w:bookmarkEnd w:id="4"/>
    </w:p>
    <w:p w14:paraId="7E9085D2" w14:textId="7C0241A7" w:rsidR="00352187" w:rsidRPr="00A72B8D" w:rsidRDefault="00190AC9" w:rsidP="00352187">
      <w:pPr>
        <w:tabs>
          <w:tab w:val="left" w:pos="567"/>
        </w:tabs>
        <w:spacing w:before="240" w:line="240" w:lineRule="auto"/>
        <w:ind w:left="567" w:hanging="567"/>
        <w:jc w:val="both"/>
        <w:rPr>
          <w:rFonts w:cs="Calibri"/>
          <w:lang w:eastAsia="en-GB"/>
        </w:rPr>
      </w:pPr>
      <w:r w:rsidRPr="00A72B8D">
        <w:rPr>
          <w:rFonts w:cs="Calibri"/>
          <w:lang w:eastAsia="en-GB"/>
        </w:rPr>
        <w:t>3.1</w:t>
      </w:r>
      <w:r w:rsidRPr="00A72B8D">
        <w:rPr>
          <w:rFonts w:cs="Calibri"/>
          <w:lang w:eastAsia="en-GB"/>
        </w:rPr>
        <w:tab/>
      </w:r>
      <w:r w:rsidR="00352187" w:rsidRPr="00A72B8D">
        <w:rPr>
          <w:rFonts w:cs="Calibri"/>
          <w:lang w:eastAsia="en-GB"/>
        </w:rPr>
        <w:t>NWLDC will consider the following types of compensation within this Policy.</w:t>
      </w:r>
    </w:p>
    <w:p w14:paraId="7D733B72" w14:textId="194912B0" w:rsidR="00682CF2" w:rsidRPr="00A72B8D" w:rsidRDefault="00682CF2" w:rsidP="00A72B8D">
      <w:pPr>
        <w:numPr>
          <w:ilvl w:val="0"/>
          <w:numId w:val="31"/>
        </w:numPr>
        <w:tabs>
          <w:tab w:val="left" w:pos="851"/>
        </w:tabs>
        <w:spacing w:before="240" w:line="240" w:lineRule="auto"/>
        <w:ind w:hanging="11"/>
        <w:jc w:val="both"/>
        <w:rPr>
          <w:rFonts w:cs="Calibri"/>
        </w:rPr>
      </w:pPr>
      <w:r w:rsidRPr="00A72B8D">
        <w:rPr>
          <w:rFonts w:cs="Calibri"/>
        </w:rPr>
        <w:t>Quantifiable Loss Payments where people can demonstrate actual loss.</w:t>
      </w:r>
    </w:p>
    <w:p w14:paraId="5A1FA4AC" w14:textId="24C38FE0" w:rsidR="00352187" w:rsidRPr="00A72B8D" w:rsidRDefault="00352187" w:rsidP="00A72B8D">
      <w:pPr>
        <w:numPr>
          <w:ilvl w:val="0"/>
          <w:numId w:val="31"/>
        </w:numPr>
        <w:tabs>
          <w:tab w:val="left" w:pos="851"/>
        </w:tabs>
        <w:spacing w:before="240" w:line="240" w:lineRule="auto"/>
        <w:ind w:hanging="11"/>
        <w:jc w:val="both"/>
        <w:rPr>
          <w:rFonts w:cs="Calibri"/>
        </w:rPr>
      </w:pPr>
      <w:r w:rsidRPr="00A72B8D">
        <w:rPr>
          <w:rFonts w:cs="Calibri"/>
        </w:rPr>
        <w:t>Time and trouble payments, these are discretionary payments, for time, trouble, distress, and inconvenience.</w:t>
      </w:r>
    </w:p>
    <w:p w14:paraId="315F6836" w14:textId="19903438" w:rsidR="00352187" w:rsidRPr="00A72B8D" w:rsidRDefault="00352187" w:rsidP="00A72B8D">
      <w:pPr>
        <w:numPr>
          <w:ilvl w:val="0"/>
          <w:numId w:val="31"/>
        </w:numPr>
        <w:tabs>
          <w:tab w:val="left" w:pos="851"/>
        </w:tabs>
        <w:spacing w:before="240" w:line="240" w:lineRule="auto"/>
        <w:ind w:left="851" w:hanging="142"/>
        <w:jc w:val="both"/>
        <w:rPr>
          <w:rFonts w:cs="Calibri"/>
        </w:rPr>
      </w:pPr>
      <w:r w:rsidRPr="00A72B8D">
        <w:rPr>
          <w:rFonts w:cs="Calibri"/>
        </w:rPr>
        <w:t>Mandatory payments such as missed appointment payments or failure to complete a repair within the specified parameters.</w:t>
      </w:r>
    </w:p>
    <w:p w14:paraId="149B3ACE" w14:textId="77777777" w:rsidR="004775BB" w:rsidRPr="00A72B8D" w:rsidRDefault="004775BB" w:rsidP="00724D32">
      <w:pPr>
        <w:pStyle w:val="NoSpacing"/>
        <w:rPr>
          <w:rFonts w:ascii="Arial" w:hAnsi="Arial" w:cs="Arial"/>
        </w:rPr>
      </w:pPr>
    </w:p>
    <w:p w14:paraId="222BA01E" w14:textId="77777777" w:rsidR="004B1D79" w:rsidRPr="00A72B8D" w:rsidRDefault="004B1D79" w:rsidP="00126173">
      <w:pPr>
        <w:pStyle w:val="Heading2"/>
        <w:rPr>
          <w:color w:val="auto"/>
        </w:rPr>
      </w:pPr>
      <w:bookmarkStart w:id="5" w:name="_Toc161647988"/>
      <w:r w:rsidRPr="00A72B8D">
        <w:rPr>
          <w:color w:val="auto"/>
        </w:rPr>
        <w:t xml:space="preserve">4.     Compensation </w:t>
      </w:r>
      <w:r w:rsidR="00BC6895" w:rsidRPr="00A72B8D">
        <w:rPr>
          <w:color w:val="auto"/>
        </w:rPr>
        <w:t xml:space="preserve">and </w:t>
      </w:r>
      <w:r w:rsidRPr="00A72B8D">
        <w:rPr>
          <w:color w:val="auto"/>
        </w:rPr>
        <w:t>Payments</w:t>
      </w:r>
      <w:bookmarkEnd w:id="5"/>
    </w:p>
    <w:p w14:paraId="7EAA7579" w14:textId="77777777" w:rsidR="004775BB" w:rsidRPr="00A72B8D" w:rsidRDefault="004775BB" w:rsidP="004B1D79">
      <w:pPr>
        <w:pStyle w:val="NoSpacing"/>
        <w:rPr>
          <w:rFonts w:ascii="Arial" w:hAnsi="Arial" w:cs="Arial"/>
          <w:b/>
        </w:rPr>
      </w:pPr>
    </w:p>
    <w:p w14:paraId="6C69B1F5" w14:textId="77777777" w:rsidR="004775BB" w:rsidRPr="00A72B8D" w:rsidRDefault="004B1D79" w:rsidP="004B1D79">
      <w:pPr>
        <w:pStyle w:val="NoSpacing"/>
        <w:ind w:left="709" w:hanging="709"/>
        <w:rPr>
          <w:rFonts w:cs="Calibri"/>
          <w:b/>
        </w:rPr>
      </w:pPr>
      <w:r w:rsidRPr="00A72B8D">
        <w:rPr>
          <w:rFonts w:cs="Calibri"/>
        </w:rPr>
        <w:t>4.1</w:t>
      </w:r>
      <w:r w:rsidRPr="00A72B8D">
        <w:rPr>
          <w:rFonts w:cs="Calibri"/>
        </w:rPr>
        <w:tab/>
      </w:r>
      <w:r w:rsidR="005B23BE" w:rsidRPr="00A72B8D">
        <w:rPr>
          <w:rFonts w:cs="Calibri"/>
        </w:rPr>
        <w:t>C</w:t>
      </w:r>
      <w:r w:rsidR="00F54EF6" w:rsidRPr="00A72B8D">
        <w:rPr>
          <w:rFonts w:cs="Calibri"/>
        </w:rPr>
        <w:t>ompensation is considered to be a remedy for inconvenience or distress</w:t>
      </w:r>
      <w:r w:rsidR="005B23BE" w:rsidRPr="00A72B8D">
        <w:rPr>
          <w:rFonts w:cs="Calibri"/>
        </w:rPr>
        <w:t xml:space="preserve"> caused by a service failure</w:t>
      </w:r>
      <w:r w:rsidR="00F54EF6" w:rsidRPr="00A72B8D">
        <w:rPr>
          <w:rFonts w:cs="Calibri"/>
        </w:rPr>
        <w:t>, and claims will be cons</w:t>
      </w:r>
      <w:r w:rsidR="004775BB" w:rsidRPr="00A72B8D">
        <w:rPr>
          <w:rFonts w:cs="Calibri"/>
        </w:rPr>
        <w:t>idered on a case-by-case basis.</w:t>
      </w:r>
    </w:p>
    <w:p w14:paraId="2DDCE423" w14:textId="77777777" w:rsidR="004775BB" w:rsidRPr="00A72B8D" w:rsidRDefault="004775BB" w:rsidP="004775BB">
      <w:pPr>
        <w:pStyle w:val="NoSpacing"/>
        <w:ind w:left="709"/>
        <w:rPr>
          <w:rFonts w:cs="Calibri"/>
        </w:rPr>
      </w:pPr>
    </w:p>
    <w:p w14:paraId="0E28EE5B" w14:textId="77777777" w:rsidR="004775BB" w:rsidRPr="00A72B8D" w:rsidRDefault="005B23BE" w:rsidP="004775BB">
      <w:pPr>
        <w:pStyle w:val="NoSpacing"/>
        <w:ind w:left="709"/>
        <w:rPr>
          <w:rFonts w:cs="Calibri"/>
          <w:b/>
        </w:rPr>
      </w:pPr>
      <w:r w:rsidRPr="00A72B8D">
        <w:rPr>
          <w:rFonts w:cs="Calibri"/>
        </w:rPr>
        <w:t>C</w:t>
      </w:r>
      <w:r w:rsidR="00F54EF6" w:rsidRPr="00A72B8D">
        <w:rPr>
          <w:rFonts w:cs="Calibri"/>
        </w:rPr>
        <w:t xml:space="preserve">ompensation payments will </w:t>
      </w:r>
      <w:r w:rsidRPr="00A72B8D">
        <w:rPr>
          <w:rFonts w:cs="Calibri"/>
        </w:rPr>
        <w:t xml:space="preserve">be considered </w:t>
      </w:r>
      <w:r w:rsidR="00F54EF6" w:rsidRPr="00A72B8D">
        <w:rPr>
          <w:rFonts w:cs="Calibri"/>
        </w:rPr>
        <w:t>where:</w:t>
      </w:r>
    </w:p>
    <w:p w14:paraId="534CD227" w14:textId="77777777" w:rsidR="004775BB" w:rsidRPr="00A72B8D" w:rsidRDefault="004775BB" w:rsidP="004775BB">
      <w:pPr>
        <w:pStyle w:val="NoSpacing"/>
        <w:rPr>
          <w:rFonts w:cs="Calibri"/>
        </w:rPr>
      </w:pPr>
      <w:r w:rsidRPr="00A72B8D">
        <w:rPr>
          <w:rFonts w:cs="Calibri"/>
        </w:rPr>
        <w:t>.</w:t>
      </w:r>
    </w:p>
    <w:p w14:paraId="45270BBE" w14:textId="2E30EAF1" w:rsidR="004775BB" w:rsidRPr="00A72B8D" w:rsidRDefault="00F54EF6" w:rsidP="00724D32">
      <w:pPr>
        <w:pStyle w:val="NoSpacing"/>
        <w:numPr>
          <w:ilvl w:val="0"/>
          <w:numId w:val="20"/>
        </w:numPr>
        <w:ind w:left="1276"/>
        <w:rPr>
          <w:rFonts w:cs="Calibri"/>
        </w:rPr>
      </w:pPr>
      <w:r w:rsidRPr="00A72B8D">
        <w:rPr>
          <w:rFonts w:cs="Calibri"/>
        </w:rPr>
        <w:t xml:space="preserve">There has been a failure in standards of service </w:t>
      </w:r>
      <w:r w:rsidR="00352187" w:rsidRPr="00A72B8D">
        <w:rPr>
          <w:rFonts w:cs="Calibri"/>
        </w:rPr>
        <w:t>delivery.</w:t>
      </w:r>
    </w:p>
    <w:p w14:paraId="006133F2" w14:textId="77777777" w:rsidR="00682CF2" w:rsidRPr="00E90633" w:rsidRDefault="00682CF2" w:rsidP="00682CF2">
      <w:pPr>
        <w:pStyle w:val="NoSpacing"/>
        <w:ind w:left="916"/>
        <w:rPr>
          <w:rFonts w:cs="Calibri"/>
        </w:rPr>
      </w:pPr>
    </w:p>
    <w:p w14:paraId="05FA4F3E" w14:textId="77777777" w:rsidR="004775BB" w:rsidRPr="00E90633" w:rsidRDefault="00F54EF6" w:rsidP="00724D32">
      <w:pPr>
        <w:pStyle w:val="NoSpacing"/>
        <w:numPr>
          <w:ilvl w:val="0"/>
          <w:numId w:val="20"/>
        </w:numPr>
        <w:ind w:left="1276"/>
        <w:rPr>
          <w:rFonts w:cs="Calibri"/>
        </w:rPr>
      </w:pPr>
      <w:r w:rsidRPr="00E90633">
        <w:rPr>
          <w:rFonts w:cs="Calibri"/>
        </w:rPr>
        <w:t>Where NWLDC has failed in its repairing obligations as a landlord, or has failed to meet a repa</w:t>
      </w:r>
      <w:r w:rsidR="004775BB" w:rsidRPr="00E90633">
        <w:rPr>
          <w:rFonts w:cs="Calibri"/>
        </w:rPr>
        <w:t>irs deadline as specified below</w:t>
      </w:r>
    </w:p>
    <w:p w14:paraId="36E48C92" w14:textId="77777777" w:rsidR="00352187" w:rsidRPr="00E90633" w:rsidRDefault="00352187" w:rsidP="00352187">
      <w:pPr>
        <w:pStyle w:val="NoSpacing"/>
        <w:ind w:left="916"/>
        <w:rPr>
          <w:rFonts w:cs="Calibri"/>
        </w:rPr>
      </w:pPr>
    </w:p>
    <w:p w14:paraId="6EBEC17B" w14:textId="77777777" w:rsidR="00B327D0" w:rsidRPr="00E90633" w:rsidRDefault="00F54EF6" w:rsidP="00B327D0">
      <w:pPr>
        <w:pStyle w:val="NoSpacing"/>
        <w:numPr>
          <w:ilvl w:val="0"/>
          <w:numId w:val="20"/>
        </w:numPr>
        <w:ind w:left="1276"/>
        <w:rPr>
          <w:rFonts w:cs="Calibri"/>
        </w:rPr>
      </w:pPr>
      <w:r w:rsidRPr="00E90633">
        <w:rPr>
          <w:rFonts w:cs="Calibri"/>
        </w:rPr>
        <w:t xml:space="preserve">There has been loss or damage to persons, or personal property where liability is not in dispute. </w:t>
      </w:r>
    </w:p>
    <w:p w14:paraId="0E377B18" w14:textId="77777777" w:rsidR="00846470" w:rsidRPr="00E90633" w:rsidRDefault="00846470" w:rsidP="00846470">
      <w:pPr>
        <w:pStyle w:val="ListParagraph"/>
        <w:spacing w:after="0"/>
        <w:rPr>
          <w:rFonts w:cs="Calibri"/>
        </w:rPr>
      </w:pPr>
    </w:p>
    <w:p w14:paraId="6BA0ADC6" w14:textId="0502D5D1" w:rsidR="00846470" w:rsidRPr="00E90633" w:rsidRDefault="00846470" w:rsidP="00B327D0">
      <w:pPr>
        <w:pStyle w:val="NoSpacing"/>
        <w:numPr>
          <w:ilvl w:val="0"/>
          <w:numId w:val="20"/>
        </w:numPr>
        <w:ind w:left="1276"/>
        <w:rPr>
          <w:rFonts w:cs="Calibri"/>
        </w:rPr>
      </w:pPr>
      <w:r w:rsidRPr="00E90633">
        <w:rPr>
          <w:rFonts w:cs="Calibri"/>
        </w:rPr>
        <w:t>Disturbance payments made to tenancy holders  to compensate for reasonable expenses in moving from their home as a consequence of repairs being required. For more information see Decant Policy.</w:t>
      </w:r>
    </w:p>
    <w:p w14:paraId="1D62E019" w14:textId="77777777" w:rsidR="00663DBB" w:rsidRPr="00E90633" w:rsidRDefault="00663DBB" w:rsidP="00846470">
      <w:pPr>
        <w:pStyle w:val="NoSpacing"/>
        <w:rPr>
          <w:rFonts w:cs="Calibri"/>
        </w:rPr>
      </w:pPr>
    </w:p>
    <w:p w14:paraId="72CE408C" w14:textId="687132C6" w:rsidR="00846470" w:rsidRPr="00E90633" w:rsidRDefault="00846470" w:rsidP="00846470">
      <w:pPr>
        <w:pStyle w:val="yiv3099937384msonormal"/>
        <w:shd w:val="clear" w:color="auto" w:fill="FFFFFF"/>
        <w:tabs>
          <w:tab w:val="left" w:pos="1276"/>
        </w:tabs>
        <w:ind w:left="709"/>
        <w:jc w:val="both"/>
        <w:rPr>
          <w:rFonts w:ascii="Calibri" w:hAnsi="Calibri" w:cs="Calibri"/>
          <w:sz w:val="22"/>
          <w:szCs w:val="22"/>
        </w:rPr>
      </w:pPr>
      <w:r w:rsidRPr="00E90633">
        <w:rPr>
          <w:rFonts w:ascii="Calibri" w:hAnsi="Calibri" w:cs="Calibri"/>
          <w:sz w:val="22"/>
          <w:szCs w:val="22"/>
        </w:rPr>
        <w:t>4.2</w:t>
      </w:r>
      <w:r w:rsidRPr="00E90633">
        <w:rPr>
          <w:rFonts w:ascii="Calibri" w:hAnsi="Calibri" w:cs="Calibri"/>
          <w:sz w:val="22"/>
          <w:szCs w:val="22"/>
        </w:rPr>
        <w:tab/>
        <w:t>Quantifiable Loss payments</w:t>
      </w:r>
    </w:p>
    <w:p w14:paraId="4E3D0791" w14:textId="36C16B80" w:rsidR="00846470" w:rsidRPr="00E90633" w:rsidRDefault="00846470" w:rsidP="00846470">
      <w:pPr>
        <w:pStyle w:val="yiv3099937384msonormal"/>
        <w:shd w:val="clear" w:color="auto" w:fill="FFFFFF"/>
        <w:ind w:left="709"/>
        <w:jc w:val="both"/>
        <w:rPr>
          <w:rFonts w:ascii="Calibri" w:hAnsi="Calibri" w:cs="Calibri"/>
          <w:sz w:val="22"/>
          <w:szCs w:val="22"/>
        </w:rPr>
      </w:pPr>
      <w:r w:rsidRPr="00E90633">
        <w:rPr>
          <w:rFonts w:ascii="Calibri" w:hAnsi="Calibri" w:cs="Calibri"/>
          <w:sz w:val="22"/>
          <w:szCs w:val="22"/>
        </w:rPr>
        <w:t>Examples of quantifiable loss could include: -</w:t>
      </w:r>
    </w:p>
    <w:p w14:paraId="33713AD1" w14:textId="544BE072" w:rsidR="00846470" w:rsidRPr="00E90633" w:rsidRDefault="00846470" w:rsidP="00846470">
      <w:pPr>
        <w:pStyle w:val="yiv3099937384msolistparagraph"/>
        <w:numPr>
          <w:ilvl w:val="0"/>
          <w:numId w:val="29"/>
        </w:numPr>
        <w:shd w:val="clear" w:color="auto" w:fill="FFFFFF"/>
        <w:spacing w:before="0" w:beforeAutospacing="0" w:after="0" w:afterAutospacing="0"/>
        <w:ind w:left="1440"/>
        <w:jc w:val="both"/>
        <w:rPr>
          <w:rFonts w:ascii="Calibri" w:hAnsi="Calibri" w:cs="Calibri"/>
          <w:sz w:val="22"/>
          <w:szCs w:val="22"/>
        </w:rPr>
      </w:pPr>
      <w:r w:rsidRPr="00E90633">
        <w:rPr>
          <w:rFonts w:ascii="Calibri" w:hAnsi="Calibri" w:cs="Calibri"/>
          <w:sz w:val="22"/>
          <w:szCs w:val="22"/>
        </w:rPr>
        <w:t>A</w:t>
      </w:r>
      <w:r w:rsidR="00DE397A" w:rsidRPr="00E90633">
        <w:rPr>
          <w:rFonts w:ascii="Calibri" w:hAnsi="Calibri" w:cs="Calibri"/>
          <w:sz w:val="22"/>
          <w:szCs w:val="22"/>
        </w:rPr>
        <w:t xml:space="preserve"> missed appointment, without prior notice, by Council staff or one of its contractors.</w:t>
      </w:r>
    </w:p>
    <w:p w14:paraId="4864CFFD" w14:textId="0921AD94" w:rsidR="00846470" w:rsidRPr="00E90633" w:rsidRDefault="00846470" w:rsidP="00846470">
      <w:pPr>
        <w:pStyle w:val="yiv3099937384msolistparagraph"/>
        <w:numPr>
          <w:ilvl w:val="0"/>
          <w:numId w:val="29"/>
        </w:numPr>
        <w:shd w:val="clear" w:color="auto" w:fill="FFFFFF"/>
        <w:spacing w:before="0" w:beforeAutospacing="0" w:after="0" w:afterAutospacing="0"/>
        <w:ind w:left="1440"/>
        <w:jc w:val="both"/>
        <w:rPr>
          <w:rFonts w:ascii="Calibri" w:hAnsi="Calibri" w:cs="Calibri"/>
          <w:sz w:val="22"/>
          <w:szCs w:val="22"/>
        </w:rPr>
      </w:pPr>
      <w:r w:rsidRPr="00E90633">
        <w:rPr>
          <w:rFonts w:ascii="Calibri" w:hAnsi="Calibri" w:cs="Calibri"/>
          <w:sz w:val="22"/>
          <w:szCs w:val="22"/>
        </w:rPr>
        <w:t>Increased heating bills due to repairs required.</w:t>
      </w:r>
    </w:p>
    <w:p w14:paraId="3C93FDC1" w14:textId="331DC83B" w:rsidR="00846470" w:rsidRPr="00E90633" w:rsidRDefault="00846470" w:rsidP="00846470">
      <w:pPr>
        <w:pStyle w:val="yiv3099937384msolistparagraph"/>
        <w:numPr>
          <w:ilvl w:val="0"/>
          <w:numId w:val="29"/>
        </w:numPr>
        <w:shd w:val="clear" w:color="auto" w:fill="FFFFFF"/>
        <w:spacing w:before="0" w:beforeAutospacing="0" w:after="0" w:afterAutospacing="0"/>
        <w:ind w:left="1440"/>
        <w:jc w:val="both"/>
        <w:rPr>
          <w:rFonts w:ascii="Calibri" w:hAnsi="Calibri" w:cs="Calibri"/>
          <w:sz w:val="22"/>
          <w:szCs w:val="22"/>
        </w:rPr>
      </w:pPr>
      <w:r w:rsidRPr="00E90633">
        <w:rPr>
          <w:rFonts w:ascii="Calibri" w:hAnsi="Calibri" w:cs="Calibri"/>
          <w:sz w:val="22"/>
          <w:szCs w:val="22"/>
        </w:rPr>
        <w:t>N</w:t>
      </w:r>
      <w:r w:rsidR="00DE397A" w:rsidRPr="00E90633">
        <w:rPr>
          <w:rFonts w:ascii="Calibri" w:hAnsi="Calibri" w:cs="Calibri"/>
          <w:sz w:val="22"/>
          <w:szCs w:val="22"/>
        </w:rPr>
        <w:t>ot completing a repair within the specified timescale.</w:t>
      </w:r>
    </w:p>
    <w:p w14:paraId="54CB25DD" w14:textId="179E6EB9" w:rsidR="00A72B8D" w:rsidRPr="00E90633" w:rsidRDefault="00846470" w:rsidP="00E90633">
      <w:pPr>
        <w:pStyle w:val="yiv3099937384msolistparagraph"/>
        <w:numPr>
          <w:ilvl w:val="0"/>
          <w:numId w:val="29"/>
        </w:numPr>
        <w:shd w:val="clear" w:color="auto" w:fill="FFFFFF"/>
        <w:spacing w:before="0" w:beforeAutospacing="0" w:after="0" w:afterAutospacing="0"/>
        <w:ind w:left="1440"/>
        <w:jc w:val="both"/>
        <w:rPr>
          <w:rFonts w:ascii="Calibri" w:hAnsi="Calibri" w:cs="Calibri"/>
          <w:sz w:val="22"/>
          <w:szCs w:val="22"/>
        </w:rPr>
      </w:pPr>
      <w:r w:rsidRPr="00E90633">
        <w:rPr>
          <w:rFonts w:ascii="Calibri" w:hAnsi="Calibri" w:cs="Calibri"/>
          <w:sz w:val="22"/>
          <w:szCs w:val="22"/>
        </w:rPr>
        <w:t>L</w:t>
      </w:r>
      <w:r w:rsidR="00DE397A" w:rsidRPr="00E90633">
        <w:rPr>
          <w:rFonts w:ascii="Calibri" w:hAnsi="Calibri" w:cs="Calibri"/>
          <w:sz w:val="22"/>
          <w:szCs w:val="22"/>
        </w:rPr>
        <w:t xml:space="preserve">oss of heating or hot water that continues after 24 </w:t>
      </w:r>
      <w:proofErr w:type="gramStart"/>
      <w:r w:rsidR="00DE397A" w:rsidRPr="00E90633">
        <w:rPr>
          <w:rFonts w:ascii="Calibri" w:hAnsi="Calibri" w:cs="Calibri"/>
          <w:sz w:val="22"/>
          <w:szCs w:val="22"/>
        </w:rPr>
        <w:t>hours</w:t>
      </w:r>
      <w:proofErr w:type="gramEnd"/>
    </w:p>
    <w:p w14:paraId="5725FA81" w14:textId="1AF5B0C8" w:rsidR="00A72B8D" w:rsidRPr="00E90633" w:rsidRDefault="00A72B8D" w:rsidP="00A72B8D">
      <w:pPr>
        <w:pStyle w:val="yiv3099937384msolistparagraph"/>
        <w:numPr>
          <w:ilvl w:val="0"/>
          <w:numId w:val="29"/>
        </w:numPr>
        <w:shd w:val="clear" w:color="auto" w:fill="FFFFFF"/>
        <w:spacing w:before="0" w:beforeAutospacing="0" w:after="0" w:afterAutospacing="0"/>
        <w:ind w:left="1440"/>
        <w:jc w:val="both"/>
        <w:rPr>
          <w:rFonts w:ascii="Calibri" w:hAnsi="Calibri" w:cs="Calibri"/>
          <w:sz w:val="22"/>
          <w:szCs w:val="22"/>
        </w:rPr>
      </w:pPr>
      <w:r w:rsidRPr="00E90633">
        <w:rPr>
          <w:rFonts w:ascii="Calibri" w:hAnsi="Calibri" w:cs="Calibri"/>
          <w:sz w:val="22"/>
          <w:szCs w:val="22"/>
        </w:rPr>
        <w:t xml:space="preserve">Additional electricity bills associated with running a </w:t>
      </w:r>
      <w:proofErr w:type="gramStart"/>
      <w:r w:rsidRPr="00E90633">
        <w:rPr>
          <w:rFonts w:ascii="Calibri" w:hAnsi="Calibri" w:cs="Calibri"/>
          <w:sz w:val="22"/>
          <w:szCs w:val="22"/>
        </w:rPr>
        <w:t>dehumidifier</w:t>
      </w:r>
      <w:proofErr w:type="gramEnd"/>
    </w:p>
    <w:p w14:paraId="2E788470" w14:textId="77777777" w:rsidR="00A72B8D" w:rsidRPr="00E90633" w:rsidRDefault="00A72B8D" w:rsidP="00A72B8D">
      <w:pPr>
        <w:pStyle w:val="yiv3099937384msolistparagraph"/>
        <w:shd w:val="clear" w:color="auto" w:fill="FFFFFF"/>
        <w:spacing w:before="0" w:beforeAutospacing="0" w:after="0" w:afterAutospacing="0"/>
        <w:jc w:val="both"/>
        <w:rPr>
          <w:rFonts w:ascii="Calibri" w:hAnsi="Calibri" w:cs="Calibri"/>
          <w:sz w:val="22"/>
          <w:szCs w:val="22"/>
        </w:rPr>
      </w:pPr>
    </w:p>
    <w:p w14:paraId="76092038" w14:textId="4E20CDA3" w:rsidR="00A72B8D" w:rsidRPr="00E90633" w:rsidRDefault="00A72B8D" w:rsidP="00A72B8D">
      <w:pPr>
        <w:pStyle w:val="yiv3099937384msolistparagraph"/>
        <w:shd w:val="clear" w:color="auto" w:fill="FFFFFF"/>
        <w:spacing w:before="0" w:beforeAutospacing="0" w:after="0" w:afterAutospacing="0"/>
        <w:ind w:left="709"/>
        <w:jc w:val="both"/>
        <w:rPr>
          <w:rFonts w:ascii="Calibri" w:hAnsi="Calibri" w:cs="Calibri"/>
          <w:sz w:val="22"/>
          <w:szCs w:val="22"/>
        </w:rPr>
      </w:pPr>
      <w:r w:rsidRPr="00E90633">
        <w:rPr>
          <w:rFonts w:ascii="Calibri" w:hAnsi="Calibri" w:cs="Calibri"/>
          <w:sz w:val="22"/>
          <w:szCs w:val="22"/>
        </w:rPr>
        <w:t xml:space="preserve">This list is not </w:t>
      </w:r>
      <w:proofErr w:type="gramStart"/>
      <w:r w:rsidRPr="00E90633">
        <w:rPr>
          <w:rFonts w:ascii="Calibri" w:hAnsi="Calibri" w:cs="Calibri"/>
          <w:sz w:val="22"/>
          <w:szCs w:val="22"/>
        </w:rPr>
        <w:t>exhaustive</w:t>
      </w:r>
      <w:proofErr w:type="gramEnd"/>
      <w:r w:rsidRPr="00E90633">
        <w:rPr>
          <w:rFonts w:ascii="Calibri" w:hAnsi="Calibri" w:cs="Calibri"/>
          <w:sz w:val="22"/>
          <w:szCs w:val="22"/>
        </w:rPr>
        <w:t xml:space="preserve"> and each case will be considered on its merits.</w:t>
      </w:r>
    </w:p>
    <w:p w14:paraId="5A78D360" w14:textId="77777777" w:rsidR="004775BB" w:rsidRPr="00E90633" w:rsidRDefault="004775BB" w:rsidP="004775BB">
      <w:pPr>
        <w:pStyle w:val="NoSpacing"/>
        <w:rPr>
          <w:rFonts w:cs="Calibri"/>
        </w:rPr>
      </w:pPr>
    </w:p>
    <w:p w14:paraId="6851F120" w14:textId="7F00863B" w:rsidR="00F54EF6" w:rsidRPr="00E90633" w:rsidRDefault="00F54EF6" w:rsidP="004775BB">
      <w:pPr>
        <w:pStyle w:val="NoSpacing"/>
        <w:ind w:left="709"/>
        <w:rPr>
          <w:rFonts w:cs="Calibri"/>
        </w:rPr>
      </w:pPr>
      <w:r w:rsidRPr="00E90633">
        <w:rPr>
          <w:rFonts w:cs="Calibri"/>
        </w:rPr>
        <w:t>NWLDC will not pay compensation if we are unable to achieve our</w:t>
      </w:r>
      <w:r w:rsidR="00E209C0" w:rsidRPr="00E90633">
        <w:rPr>
          <w:rFonts w:cs="Calibri"/>
        </w:rPr>
        <w:t xml:space="preserve"> service</w:t>
      </w:r>
      <w:r w:rsidRPr="00E90633">
        <w:rPr>
          <w:rFonts w:cs="Calibri"/>
        </w:rPr>
        <w:t xml:space="preserve"> standards due to circumstances beyond our control, for example:</w:t>
      </w:r>
      <w:r w:rsidR="00682CF2" w:rsidRPr="00E90633">
        <w:rPr>
          <w:rFonts w:cs="Calibri"/>
        </w:rPr>
        <w:t xml:space="preserve"> -</w:t>
      </w:r>
    </w:p>
    <w:p w14:paraId="79FB523A" w14:textId="77777777" w:rsidR="00682CF2" w:rsidRPr="00E90633" w:rsidRDefault="00682CF2" w:rsidP="004775BB">
      <w:pPr>
        <w:pStyle w:val="NoSpacing"/>
        <w:ind w:left="709"/>
        <w:rPr>
          <w:rFonts w:cs="Calibri"/>
        </w:rPr>
      </w:pPr>
    </w:p>
    <w:p w14:paraId="42221B16" w14:textId="22443E7E" w:rsidR="00682CF2" w:rsidRPr="00E90633" w:rsidRDefault="00682CF2" w:rsidP="00E90633">
      <w:pPr>
        <w:pStyle w:val="NoSpacing"/>
        <w:numPr>
          <w:ilvl w:val="0"/>
          <w:numId w:val="35"/>
        </w:numPr>
        <w:ind w:left="1418" w:hanging="284"/>
        <w:rPr>
          <w:rFonts w:cs="Calibri"/>
        </w:rPr>
      </w:pPr>
      <w:r w:rsidRPr="00E90633">
        <w:rPr>
          <w:rFonts w:cs="Calibri"/>
        </w:rPr>
        <w:t xml:space="preserve">The fault being that of a third party such as a utility company, electricity, </w:t>
      </w:r>
      <w:proofErr w:type="gramStart"/>
      <w:r w:rsidRPr="00E90633">
        <w:rPr>
          <w:rFonts w:cs="Calibri"/>
        </w:rPr>
        <w:t>water</w:t>
      </w:r>
      <w:proofErr w:type="gramEnd"/>
      <w:r w:rsidRPr="00E90633">
        <w:rPr>
          <w:rFonts w:cs="Calibri"/>
        </w:rPr>
        <w:t xml:space="preserve"> and gas, but not including our contractors.</w:t>
      </w:r>
    </w:p>
    <w:p w14:paraId="23D52554" w14:textId="2A6FF822" w:rsidR="00DD5968" w:rsidRPr="00E90633" w:rsidRDefault="00E90633" w:rsidP="00E90633">
      <w:pPr>
        <w:pStyle w:val="NoSpacing"/>
        <w:numPr>
          <w:ilvl w:val="0"/>
          <w:numId w:val="35"/>
        </w:numPr>
        <w:ind w:left="1418" w:hanging="284"/>
        <w:rPr>
          <w:rFonts w:cs="Calibri"/>
        </w:rPr>
      </w:pPr>
      <w:r w:rsidRPr="00E90633">
        <w:rPr>
          <w:rFonts w:cs="Calibri"/>
        </w:rPr>
        <w:t>S</w:t>
      </w:r>
      <w:r w:rsidR="00DD5968" w:rsidRPr="00E90633">
        <w:rPr>
          <w:rFonts w:cs="Calibri"/>
        </w:rPr>
        <w:t>evere weather conditions.</w:t>
      </w:r>
    </w:p>
    <w:p w14:paraId="534B5351" w14:textId="68F393DB" w:rsidR="00DD5968" w:rsidRPr="00E90633" w:rsidRDefault="00DD5968" w:rsidP="00E90633">
      <w:pPr>
        <w:pStyle w:val="NoSpacing"/>
        <w:numPr>
          <w:ilvl w:val="0"/>
          <w:numId w:val="35"/>
        </w:numPr>
        <w:ind w:left="1418" w:hanging="284"/>
        <w:rPr>
          <w:rFonts w:cs="Calibri"/>
        </w:rPr>
      </w:pPr>
      <w:r w:rsidRPr="00E90633">
        <w:rPr>
          <w:rFonts w:cs="Calibri"/>
        </w:rPr>
        <w:t>Accidental damage where NWLDC have done not</w:t>
      </w:r>
      <w:r w:rsidR="00A72B8D" w:rsidRPr="00E90633">
        <w:rPr>
          <w:rFonts w:cs="Calibri"/>
        </w:rPr>
        <w:t>h</w:t>
      </w:r>
      <w:r w:rsidRPr="00E90633">
        <w:rPr>
          <w:rFonts w:cs="Calibri"/>
        </w:rPr>
        <w:t>ing wrong and the repairs required are not able to have been predicted and are not due to an act or omissions by NWLDC, e.g. burst pipes.</w:t>
      </w:r>
    </w:p>
    <w:p w14:paraId="4E2F4361" w14:textId="53D9AE9E" w:rsidR="00E90633" w:rsidRPr="00E90633" w:rsidRDefault="00DD5968" w:rsidP="00E90633">
      <w:pPr>
        <w:pStyle w:val="NoSpacing"/>
        <w:numPr>
          <w:ilvl w:val="0"/>
          <w:numId w:val="35"/>
        </w:numPr>
        <w:ind w:left="1418" w:hanging="284"/>
        <w:rPr>
          <w:rFonts w:cs="Calibri"/>
        </w:rPr>
      </w:pPr>
      <w:r>
        <w:rPr>
          <w:rFonts w:cs="Calibri"/>
        </w:rPr>
        <w:t xml:space="preserve">Where the tenant has </w:t>
      </w:r>
      <w:r w:rsidR="00A72B8D">
        <w:rPr>
          <w:rFonts w:cs="Calibri"/>
        </w:rPr>
        <w:t>frustrated our ability to carry out repairs</w:t>
      </w:r>
    </w:p>
    <w:p w14:paraId="52050F8E" w14:textId="7B248D17" w:rsidR="00E90633" w:rsidRPr="00E90633" w:rsidRDefault="00E90633" w:rsidP="00E90633">
      <w:pPr>
        <w:pStyle w:val="NoSpacing"/>
        <w:numPr>
          <w:ilvl w:val="0"/>
          <w:numId w:val="35"/>
        </w:numPr>
        <w:ind w:left="1418" w:hanging="284"/>
        <w:rPr>
          <w:rFonts w:cs="Calibri"/>
        </w:rPr>
      </w:pPr>
      <w:r>
        <w:rPr>
          <w:rFonts w:cs="Calibri"/>
        </w:rPr>
        <w:t>Works in relation to a</w:t>
      </w:r>
      <w:r w:rsidR="00F54EF6" w:rsidRPr="00E90633">
        <w:rPr>
          <w:rFonts w:cs="Calibri"/>
        </w:rPr>
        <w:t>ny alteration to the property or its services carried out by the tenant without written permission or to an adequate standard</w:t>
      </w:r>
      <w:r>
        <w:rPr>
          <w:rFonts w:cs="Calibri"/>
        </w:rPr>
        <w:t xml:space="preserve"> which were therefore </w:t>
      </w:r>
      <w:proofErr w:type="gramStart"/>
      <w:r>
        <w:rPr>
          <w:rFonts w:cs="Calibri"/>
        </w:rPr>
        <w:t>unforeseeable</w:t>
      </w:r>
      <w:proofErr w:type="gramEnd"/>
    </w:p>
    <w:p w14:paraId="7148F1D3" w14:textId="77777777" w:rsidR="001C4017" w:rsidRDefault="00F54EF6" w:rsidP="00E90633">
      <w:pPr>
        <w:pStyle w:val="NoSpacing"/>
        <w:numPr>
          <w:ilvl w:val="0"/>
          <w:numId w:val="35"/>
        </w:numPr>
        <w:ind w:left="1418" w:hanging="284"/>
        <w:rPr>
          <w:rFonts w:cs="Calibri"/>
        </w:rPr>
      </w:pPr>
      <w:r w:rsidRPr="001C4017">
        <w:rPr>
          <w:rFonts w:cs="Calibri"/>
        </w:rPr>
        <w:t xml:space="preserve">Loss or damage caused by tenants, visitors or adjacent </w:t>
      </w:r>
      <w:proofErr w:type="gramStart"/>
      <w:r w:rsidRPr="001C4017">
        <w:rPr>
          <w:rFonts w:cs="Calibri"/>
        </w:rPr>
        <w:t>occupiers</w:t>
      </w:r>
      <w:proofErr w:type="gramEnd"/>
    </w:p>
    <w:p w14:paraId="04DF707A" w14:textId="77777777" w:rsidR="00F54EF6" w:rsidRPr="001C4017" w:rsidRDefault="00F54EF6" w:rsidP="00E90633">
      <w:pPr>
        <w:pStyle w:val="NoSpacing"/>
        <w:numPr>
          <w:ilvl w:val="0"/>
          <w:numId w:val="35"/>
        </w:numPr>
        <w:ind w:left="1418" w:hanging="284"/>
        <w:rPr>
          <w:rFonts w:cs="Calibri"/>
        </w:rPr>
      </w:pPr>
      <w:r w:rsidRPr="001C4017">
        <w:rPr>
          <w:rFonts w:cs="Calibri"/>
        </w:rPr>
        <w:t>The loss of water where a tenant is on a water meter and has not taken adequate steps to mitigate the loss.</w:t>
      </w:r>
    </w:p>
    <w:p w14:paraId="0AEAA8A7" w14:textId="77777777" w:rsidR="00F54EF6" w:rsidRPr="001C4017" w:rsidRDefault="00F54EF6" w:rsidP="00724D32">
      <w:pPr>
        <w:pStyle w:val="NoSpacing"/>
        <w:rPr>
          <w:rFonts w:cs="Calibri"/>
        </w:rPr>
      </w:pPr>
    </w:p>
    <w:p w14:paraId="6754C836" w14:textId="294F4BD9" w:rsidR="004775BB" w:rsidRPr="001C4017" w:rsidRDefault="00F54EF6" w:rsidP="00376187">
      <w:pPr>
        <w:pStyle w:val="NoSpacing"/>
        <w:numPr>
          <w:ilvl w:val="1"/>
          <w:numId w:val="36"/>
        </w:numPr>
        <w:ind w:left="1276" w:hanging="567"/>
        <w:rPr>
          <w:rFonts w:cs="Calibri"/>
        </w:rPr>
      </w:pPr>
      <w:r w:rsidRPr="001C4017">
        <w:rPr>
          <w:rFonts w:cs="Calibri"/>
        </w:rPr>
        <w:t>Failure in standards of Service Delivery</w:t>
      </w:r>
    </w:p>
    <w:p w14:paraId="3A91ACA3" w14:textId="77777777" w:rsidR="00024390" w:rsidRPr="001C4017" w:rsidRDefault="00024390" w:rsidP="00024390">
      <w:pPr>
        <w:pStyle w:val="NoSpacing"/>
        <w:ind w:left="709"/>
        <w:rPr>
          <w:rFonts w:cs="Calibri"/>
          <w:b/>
        </w:rPr>
      </w:pPr>
    </w:p>
    <w:p w14:paraId="0198CE13" w14:textId="5EDD48DC" w:rsidR="00F54EF6" w:rsidRPr="001C4017" w:rsidRDefault="00F54EF6" w:rsidP="005832BD">
      <w:pPr>
        <w:pStyle w:val="NoSpacing"/>
        <w:ind w:left="1069"/>
        <w:rPr>
          <w:rFonts w:cs="Calibri"/>
        </w:rPr>
      </w:pPr>
      <w:r w:rsidRPr="001C4017">
        <w:rPr>
          <w:rFonts w:cs="Calibri"/>
        </w:rPr>
        <w:t>A payment</w:t>
      </w:r>
      <w:r w:rsidR="004775BB" w:rsidRPr="001C4017">
        <w:rPr>
          <w:rFonts w:cs="Calibri"/>
        </w:rPr>
        <w:t xml:space="preserve"> of will be made by request w</w:t>
      </w:r>
      <w:r w:rsidRPr="001C4017">
        <w:rPr>
          <w:rFonts w:cs="Calibri"/>
        </w:rPr>
        <w:t xml:space="preserve">here an officer of the Council or one of its contractors has failed to keep a pre-arranged appointment without a minimum of 24 </w:t>
      </w:r>
      <w:proofErr w:type="spellStart"/>
      <w:r w:rsidRPr="001C4017">
        <w:rPr>
          <w:rFonts w:cs="Calibri"/>
        </w:rPr>
        <w:t>hours notice</w:t>
      </w:r>
      <w:proofErr w:type="spellEnd"/>
      <w:r w:rsidRPr="001C4017">
        <w:rPr>
          <w:rFonts w:cs="Calibri"/>
        </w:rPr>
        <w:t>.</w:t>
      </w:r>
      <w:r w:rsidR="00E90633">
        <w:rPr>
          <w:rFonts w:cs="Calibri"/>
        </w:rPr>
        <w:t xml:space="preserve"> This will be a payment based on notional disturbance unless a tenant can demonstrate extenuating circumstances.</w:t>
      </w:r>
    </w:p>
    <w:p w14:paraId="5E264EBF" w14:textId="77777777" w:rsidR="00F54EF6" w:rsidRPr="001C4017" w:rsidRDefault="00F54EF6" w:rsidP="004775BB">
      <w:pPr>
        <w:pStyle w:val="NoSpacing"/>
        <w:ind w:left="426"/>
        <w:rPr>
          <w:rFonts w:cs="Calibri"/>
        </w:rPr>
      </w:pPr>
    </w:p>
    <w:p w14:paraId="7EA7D6CB" w14:textId="3A3A73BE" w:rsidR="00024390" w:rsidRPr="00376187" w:rsidRDefault="00024390" w:rsidP="00376187">
      <w:pPr>
        <w:pStyle w:val="NoSpacing"/>
        <w:numPr>
          <w:ilvl w:val="1"/>
          <w:numId w:val="36"/>
        </w:numPr>
        <w:ind w:left="1276" w:hanging="567"/>
        <w:rPr>
          <w:rFonts w:cs="Calibri"/>
        </w:rPr>
      </w:pPr>
      <w:r w:rsidRPr="00376187">
        <w:rPr>
          <w:rFonts w:cs="Calibri"/>
        </w:rPr>
        <w:t>F</w:t>
      </w:r>
      <w:r w:rsidR="00DE397A" w:rsidRPr="00376187">
        <w:rPr>
          <w:rFonts w:cs="Calibri"/>
        </w:rPr>
        <w:t>ailure in Landlord’s repair</w:t>
      </w:r>
      <w:r w:rsidR="00F54EF6" w:rsidRPr="00376187">
        <w:rPr>
          <w:rFonts w:cs="Calibri"/>
        </w:rPr>
        <w:t xml:space="preserve"> obligations or failure to meet a </w:t>
      </w:r>
      <w:proofErr w:type="gramStart"/>
      <w:r w:rsidR="00F54EF6" w:rsidRPr="00376187">
        <w:rPr>
          <w:rFonts w:cs="Calibri"/>
        </w:rPr>
        <w:t>repairs</w:t>
      </w:r>
      <w:proofErr w:type="gramEnd"/>
      <w:r w:rsidR="00F54EF6" w:rsidRPr="00376187">
        <w:rPr>
          <w:rFonts w:cs="Calibri"/>
        </w:rPr>
        <w:t xml:space="preserve"> deadline</w:t>
      </w:r>
    </w:p>
    <w:p w14:paraId="07E81426" w14:textId="77777777" w:rsidR="00F54EF6" w:rsidRPr="00376187" w:rsidRDefault="00F54EF6" w:rsidP="00024390">
      <w:pPr>
        <w:pStyle w:val="NoSpacing"/>
        <w:rPr>
          <w:rFonts w:cs="Calibri"/>
          <w:b/>
        </w:rPr>
      </w:pPr>
    </w:p>
    <w:p w14:paraId="6D59A695" w14:textId="77777777" w:rsidR="00F54EF6" w:rsidRPr="00376187" w:rsidRDefault="00F54EF6" w:rsidP="005832BD">
      <w:pPr>
        <w:pStyle w:val="NoSpacing"/>
        <w:ind w:left="1014"/>
        <w:rPr>
          <w:rFonts w:cs="Calibri"/>
        </w:rPr>
      </w:pPr>
      <w:r w:rsidRPr="00376187">
        <w:rPr>
          <w:rFonts w:cs="Calibri"/>
        </w:rPr>
        <w:t>Where a Contractor has made reasonable efforts to gain access without success, or has carried out a temporary repair, then compensation will not be payable. In addition, if the delay in completing the work can be shown to be the tenants’ responsibility, compensation will not be paid.</w:t>
      </w:r>
    </w:p>
    <w:p w14:paraId="2358857C" w14:textId="77777777" w:rsidR="00024390" w:rsidRPr="00376187" w:rsidRDefault="00024390" w:rsidP="004775BB">
      <w:pPr>
        <w:pStyle w:val="NoSpacing"/>
        <w:ind w:left="426"/>
        <w:rPr>
          <w:rFonts w:cs="Calibri"/>
          <w:u w:val="single"/>
        </w:rPr>
      </w:pPr>
    </w:p>
    <w:p w14:paraId="1605BA7E" w14:textId="77777777" w:rsidR="00024390" w:rsidRPr="00376187" w:rsidRDefault="00F54EF6" w:rsidP="005832BD">
      <w:pPr>
        <w:pStyle w:val="NoSpacing"/>
        <w:ind w:left="720" w:firstLine="294"/>
        <w:rPr>
          <w:rFonts w:cs="Calibri"/>
        </w:rPr>
      </w:pPr>
      <w:r w:rsidRPr="00376187">
        <w:rPr>
          <w:rFonts w:cs="Calibri"/>
        </w:rPr>
        <w:t>A payment will be made by request where:</w:t>
      </w:r>
    </w:p>
    <w:p w14:paraId="74D04272" w14:textId="77777777" w:rsidR="00024390" w:rsidRPr="00376187" w:rsidRDefault="00024390" w:rsidP="004775BB">
      <w:pPr>
        <w:pStyle w:val="NoSpacing"/>
        <w:ind w:left="426"/>
        <w:rPr>
          <w:rFonts w:cs="Calibri"/>
        </w:rPr>
      </w:pPr>
    </w:p>
    <w:p w14:paraId="749204F9" w14:textId="034C2DED" w:rsidR="00024390" w:rsidRPr="00376187" w:rsidRDefault="00F54EF6" w:rsidP="00376187">
      <w:pPr>
        <w:pStyle w:val="NoSpacing"/>
        <w:numPr>
          <w:ilvl w:val="0"/>
          <w:numId w:val="37"/>
        </w:numPr>
        <w:ind w:left="1276" w:hanging="425"/>
        <w:rPr>
          <w:rFonts w:cs="Calibri"/>
        </w:rPr>
      </w:pPr>
      <w:r w:rsidRPr="00376187">
        <w:rPr>
          <w:rFonts w:cs="Calibri"/>
        </w:rPr>
        <w:lastRenderedPageBreak/>
        <w:t xml:space="preserve">A reported repair is not completed within its specified timescale </w:t>
      </w:r>
      <w:r w:rsidR="005832BD" w:rsidRPr="00376187">
        <w:rPr>
          <w:rFonts w:cs="Calibri"/>
        </w:rPr>
        <w:t>as set out in the repairs policy</w:t>
      </w:r>
      <w:r w:rsidR="00376187" w:rsidRPr="00376187">
        <w:rPr>
          <w:rFonts w:cs="Calibri"/>
        </w:rPr>
        <w:t>. This will be a payment based on the impact the failure to rectify the repair will have on the tenant in question.</w:t>
      </w:r>
    </w:p>
    <w:p w14:paraId="66F6E462" w14:textId="77777777" w:rsidR="00024390" w:rsidRPr="00376187" w:rsidRDefault="00024390" w:rsidP="00024390">
      <w:pPr>
        <w:pStyle w:val="NoSpacing"/>
        <w:ind w:left="1985"/>
        <w:rPr>
          <w:rFonts w:cs="Calibri"/>
        </w:rPr>
      </w:pPr>
    </w:p>
    <w:p w14:paraId="28A47D23" w14:textId="0853EEA3" w:rsidR="00024390" w:rsidRPr="00376187" w:rsidRDefault="00F54EF6" w:rsidP="00024390">
      <w:pPr>
        <w:pStyle w:val="NoSpacing"/>
        <w:numPr>
          <w:ilvl w:val="0"/>
          <w:numId w:val="23"/>
        </w:numPr>
        <w:ind w:left="1276"/>
        <w:rPr>
          <w:rFonts w:cs="Calibri"/>
        </w:rPr>
      </w:pPr>
      <w:r w:rsidRPr="00376187">
        <w:rPr>
          <w:rFonts w:cs="Calibri"/>
        </w:rPr>
        <w:t xml:space="preserve">A tenant has been required to use a dehumidifier for at least 7 calendar days, at </w:t>
      </w:r>
      <w:r w:rsidR="00376187" w:rsidRPr="00376187">
        <w:rPr>
          <w:rFonts w:cs="Calibri"/>
        </w:rPr>
        <w:t xml:space="preserve">an amount to reflect the likely cost to the </w:t>
      </w:r>
      <w:proofErr w:type="gramStart"/>
      <w:r w:rsidR="00376187" w:rsidRPr="00376187">
        <w:rPr>
          <w:rFonts w:cs="Calibri"/>
        </w:rPr>
        <w:t>tenant</w:t>
      </w:r>
      <w:proofErr w:type="gramEnd"/>
    </w:p>
    <w:p w14:paraId="49617304" w14:textId="37DBA273" w:rsidR="00DE397A" w:rsidRPr="00376187" w:rsidRDefault="00F54EF6" w:rsidP="00DE397A">
      <w:pPr>
        <w:pStyle w:val="NoSpacing"/>
        <w:numPr>
          <w:ilvl w:val="0"/>
          <w:numId w:val="23"/>
        </w:numPr>
        <w:ind w:left="1276"/>
        <w:rPr>
          <w:rFonts w:cs="Calibri"/>
        </w:rPr>
      </w:pPr>
      <w:r w:rsidRPr="00376187">
        <w:rPr>
          <w:rFonts w:cs="Calibri"/>
        </w:rPr>
        <w:t>A tenant has suffered from a loss of heating or hot water</w:t>
      </w:r>
      <w:r w:rsidR="00376187" w:rsidRPr="00376187">
        <w:rPr>
          <w:rFonts w:cs="Calibri"/>
        </w:rPr>
        <w:t>. An amount will be calculated based on the impact on the tenant to include any likely additional costs incurred such as having to repeatedly boil a kettle.</w:t>
      </w:r>
    </w:p>
    <w:p w14:paraId="3A864F59" w14:textId="10D8F85A" w:rsidR="00F54EF6" w:rsidRPr="00376187" w:rsidRDefault="00DE397A" w:rsidP="005832BD">
      <w:pPr>
        <w:pStyle w:val="yiv3099937384msonormal"/>
        <w:shd w:val="clear" w:color="auto" w:fill="FFFFFF"/>
        <w:ind w:left="1003"/>
        <w:jc w:val="both"/>
        <w:rPr>
          <w:rFonts w:ascii="Calibri" w:hAnsi="Calibri" w:cs="Calibri"/>
          <w:sz w:val="22"/>
          <w:szCs w:val="22"/>
        </w:rPr>
      </w:pPr>
      <w:r w:rsidRPr="00376187">
        <w:rPr>
          <w:rFonts w:ascii="Calibri" w:hAnsi="Calibri" w:cs="Calibri"/>
          <w:sz w:val="22"/>
          <w:szCs w:val="22"/>
        </w:rPr>
        <w:t xml:space="preserve">Managers </w:t>
      </w:r>
      <w:r w:rsidR="00376187" w:rsidRPr="00376187">
        <w:rPr>
          <w:rFonts w:ascii="Calibri" w:hAnsi="Calibri" w:cs="Calibri"/>
          <w:sz w:val="22"/>
          <w:szCs w:val="22"/>
        </w:rPr>
        <w:t xml:space="preserve">within </w:t>
      </w:r>
      <w:r w:rsidRPr="00376187">
        <w:rPr>
          <w:rFonts w:ascii="Calibri" w:hAnsi="Calibri" w:cs="Calibri"/>
          <w:sz w:val="22"/>
          <w:szCs w:val="22"/>
        </w:rPr>
        <w:t xml:space="preserve">the </w:t>
      </w:r>
      <w:r w:rsidR="00376187" w:rsidRPr="00376187">
        <w:rPr>
          <w:rFonts w:ascii="Calibri" w:hAnsi="Calibri" w:cs="Calibri"/>
          <w:sz w:val="22"/>
          <w:szCs w:val="22"/>
        </w:rPr>
        <w:t xml:space="preserve">housing </w:t>
      </w:r>
      <w:r w:rsidRPr="00376187">
        <w:rPr>
          <w:rFonts w:ascii="Calibri" w:hAnsi="Calibri" w:cs="Calibri"/>
          <w:sz w:val="22"/>
          <w:szCs w:val="22"/>
        </w:rPr>
        <w:t xml:space="preserve">service have discretion to pay compensation to tenants </w:t>
      </w:r>
      <w:r w:rsidR="005832BD" w:rsidRPr="00376187">
        <w:rPr>
          <w:rFonts w:ascii="Calibri" w:hAnsi="Calibri" w:cs="Calibri"/>
          <w:sz w:val="22"/>
          <w:szCs w:val="22"/>
        </w:rPr>
        <w:t>directly without a request</w:t>
      </w:r>
      <w:r w:rsidRPr="00376187">
        <w:rPr>
          <w:rFonts w:ascii="Calibri" w:hAnsi="Calibri" w:cs="Calibri"/>
          <w:sz w:val="22"/>
          <w:szCs w:val="22"/>
        </w:rPr>
        <w:t xml:space="preserve">.  This will </w:t>
      </w:r>
      <w:r w:rsidR="005832BD" w:rsidRPr="00376187">
        <w:rPr>
          <w:rFonts w:ascii="Calibri" w:hAnsi="Calibri" w:cs="Calibri"/>
          <w:sz w:val="22"/>
          <w:szCs w:val="22"/>
        </w:rPr>
        <w:t xml:space="preserve">usually occur </w:t>
      </w:r>
      <w:r w:rsidRPr="00376187">
        <w:rPr>
          <w:rFonts w:ascii="Calibri" w:hAnsi="Calibri" w:cs="Calibri"/>
          <w:sz w:val="22"/>
          <w:szCs w:val="22"/>
        </w:rPr>
        <w:t>when an incidence of service failure has affected more than one tenant, such as the loss of heating and/or hot water, which serves or affects more than one property.</w:t>
      </w:r>
      <w:r w:rsidR="005832BD" w:rsidRPr="00376187">
        <w:rPr>
          <w:rFonts w:ascii="Calibri" w:hAnsi="Calibri" w:cs="Calibri"/>
          <w:sz w:val="22"/>
          <w:szCs w:val="22"/>
        </w:rPr>
        <w:t xml:space="preserve"> In these circumstances compensation will be made to all affected tenants</w:t>
      </w:r>
      <w:r w:rsidR="00376187" w:rsidRPr="00376187">
        <w:rPr>
          <w:rFonts w:ascii="Calibri" w:hAnsi="Calibri" w:cs="Calibri"/>
          <w:sz w:val="22"/>
          <w:szCs w:val="22"/>
        </w:rPr>
        <w:t xml:space="preserve"> to ensure equity and fairness.</w:t>
      </w:r>
    </w:p>
    <w:p w14:paraId="4D9EDC94" w14:textId="2096B354" w:rsidR="004C0062" w:rsidRPr="00376187" w:rsidRDefault="004C0062" w:rsidP="00376187">
      <w:pPr>
        <w:pStyle w:val="NoSpacing"/>
        <w:numPr>
          <w:ilvl w:val="1"/>
          <w:numId w:val="36"/>
        </w:numPr>
        <w:ind w:hanging="785"/>
        <w:rPr>
          <w:rFonts w:cs="Calibri"/>
        </w:rPr>
      </w:pPr>
      <w:r w:rsidRPr="00376187">
        <w:rPr>
          <w:rFonts w:cs="Calibri"/>
        </w:rPr>
        <w:t>Loss or damage to persons, or personal property</w:t>
      </w:r>
    </w:p>
    <w:p w14:paraId="6280EC09" w14:textId="77777777" w:rsidR="004C0062" w:rsidRPr="00376187" w:rsidRDefault="004C0062" w:rsidP="00024390">
      <w:pPr>
        <w:pStyle w:val="NoSpacing"/>
        <w:rPr>
          <w:rFonts w:cs="Calibri"/>
        </w:rPr>
      </w:pPr>
    </w:p>
    <w:p w14:paraId="47CAB5EC" w14:textId="6AB898BB" w:rsidR="00376187" w:rsidRPr="00376187" w:rsidRDefault="00F54EF6" w:rsidP="00BA05EE">
      <w:pPr>
        <w:pStyle w:val="NoSpacing"/>
        <w:ind w:left="1014"/>
        <w:rPr>
          <w:rFonts w:cs="Calibri"/>
        </w:rPr>
      </w:pPr>
      <w:r w:rsidRPr="00376187">
        <w:rPr>
          <w:rFonts w:cs="Calibri"/>
        </w:rPr>
        <w:t>Where liability for damage to persons or personal property is not i</w:t>
      </w:r>
      <w:r w:rsidR="00BC6895" w:rsidRPr="00376187">
        <w:rPr>
          <w:rFonts w:cs="Calibri"/>
        </w:rPr>
        <w:t xml:space="preserve">n dispute, and where damage has </w:t>
      </w:r>
      <w:r w:rsidRPr="00376187">
        <w:rPr>
          <w:rFonts w:cs="Calibri"/>
        </w:rPr>
        <w:t xml:space="preserve">occurred to tenants’ possessions, either </w:t>
      </w:r>
      <w:proofErr w:type="gramStart"/>
      <w:r w:rsidRPr="00376187">
        <w:rPr>
          <w:rFonts w:cs="Calibri"/>
        </w:rPr>
        <w:t>as a result of</w:t>
      </w:r>
      <w:proofErr w:type="gramEnd"/>
      <w:r w:rsidRPr="00376187">
        <w:rPr>
          <w:rFonts w:cs="Calibri"/>
        </w:rPr>
        <w:t xml:space="preserve"> a failure to deal with a reported repair, or as a direct result of a rectified issue, we will </w:t>
      </w:r>
      <w:r w:rsidR="00376187" w:rsidRPr="00376187">
        <w:rPr>
          <w:rFonts w:cs="Calibri"/>
        </w:rPr>
        <w:t>ensure that compensation is made.</w:t>
      </w:r>
    </w:p>
    <w:p w14:paraId="37AD8DA4" w14:textId="77777777" w:rsidR="00376187" w:rsidRPr="00376187" w:rsidRDefault="00376187" w:rsidP="00BA05EE">
      <w:pPr>
        <w:pStyle w:val="NoSpacing"/>
        <w:ind w:left="1014"/>
        <w:rPr>
          <w:rFonts w:cs="Calibri"/>
        </w:rPr>
      </w:pPr>
    </w:p>
    <w:p w14:paraId="06EC000C" w14:textId="133977D0" w:rsidR="00F54EF6" w:rsidRPr="00376187" w:rsidRDefault="00F54EF6" w:rsidP="00BA05EE">
      <w:pPr>
        <w:pStyle w:val="NoSpacing"/>
        <w:ind w:left="1014"/>
        <w:rPr>
          <w:rFonts w:cs="Calibri"/>
        </w:rPr>
      </w:pPr>
      <w:r w:rsidRPr="00376187">
        <w:rPr>
          <w:rFonts w:cs="Calibri"/>
        </w:rPr>
        <w:t xml:space="preserve">Claims </w:t>
      </w:r>
      <w:proofErr w:type="gramStart"/>
      <w:r w:rsidRPr="00376187">
        <w:rPr>
          <w:rFonts w:cs="Calibri"/>
        </w:rPr>
        <w:t>in excess of</w:t>
      </w:r>
      <w:proofErr w:type="gramEnd"/>
      <w:r w:rsidRPr="00376187">
        <w:rPr>
          <w:rFonts w:cs="Calibri"/>
        </w:rPr>
        <w:t xml:space="preserve"> </w:t>
      </w:r>
      <w:r w:rsidR="00376187" w:rsidRPr="00376187">
        <w:rPr>
          <w:rFonts w:cs="Calibri"/>
        </w:rPr>
        <w:t>£2,500</w:t>
      </w:r>
      <w:r w:rsidRPr="00376187">
        <w:rPr>
          <w:rFonts w:cs="Calibri"/>
        </w:rPr>
        <w:t xml:space="preserve"> </w:t>
      </w:r>
      <w:r w:rsidR="00E209C0" w:rsidRPr="00376187">
        <w:rPr>
          <w:rFonts w:cs="Calibri"/>
        </w:rPr>
        <w:t xml:space="preserve">will normally </w:t>
      </w:r>
      <w:r w:rsidRPr="00376187">
        <w:rPr>
          <w:rFonts w:cs="Calibri"/>
        </w:rPr>
        <w:t>be referred to NWLDC’s insurance provider.</w:t>
      </w:r>
    </w:p>
    <w:p w14:paraId="26CA799E" w14:textId="77777777" w:rsidR="004C0062" w:rsidRPr="00376187" w:rsidRDefault="004C0062" w:rsidP="004C0062">
      <w:pPr>
        <w:pStyle w:val="NoSpacing"/>
        <w:ind w:left="426"/>
        <w:rPr>
          <w:rFonts w:cs="Calibri"/>
        </w:rPr>
      </w:pPr>
    </w:p>
    <w:p w14:paraId="40A87126" w14:textId="605FDC07" w:rsidR="00F54EF6" w:rsidRPr="003C5124" w:rsidRDefault="00F54EF6" w:rsidP="00BA05EE">
      <w:pPr>
        <w:pStyle w:val="NoSpacing"/>
        <w:ind w:left="1003"/>
        <w:rPr>
          <w:rFonts w:cs="Calibri"/>
        </w:rPr>
      </w:pPr>
      <w:r w:rsidRPr="00376187">
        <w:rPr>
          <w:rFonts w:cs="Calibri"/>
        </w:rPr>
        <w:t xml:space="preserve">In the event of any claim, we </w:t>
      </w:r>
      <w:r w:rsidR="00376187" w:rsidRPr="00376187">
        <w:rPr>
          <w:rFonts w:cs="Calibri"/>
        </w:rPr>
        <w:t xml:space="preserve">will seek evidence to justify the value of the loss such as receipts or other </w:t>
      </w:r>
      <w:r w:rsidR="00376187" w:rsidRPr="003C5124">
        <w:rPr>
          <w:rFonts w:cs="Calibri"/>
        </w:rPr>
        <w:t>evidence.</w:t>
      </w:r>
      <w:r w:rsidR="004C0062" w:rsidRPr="003C5124">
        <w:rPr>
          <w:rFonts w:cs="Calibri"/>
        </w:rPr>
        <w:br/>
      </w:r>
    </w:p>
    <w:p w14:paraId="190994FA" w14:textId="77777777" w:rsidR="004C0062" w:rsidRPr="003C5124" w:rsidRDefault="004C0062" w:rsidP="00376187">
      <w:pPr>
        <w:pStyle w:val="NoSpacing"/>
        <w:numPr>
          <w:ilvl w:val="1"/>
          <w:numId w:val="36"/>
        </w:numPr>
        <w:ind w:left="993" w:hanging="709"/>
        <w:rPr>
          <w:rFonts w:cs="Calibri"/>
        </w:rPr>
      </w:pPr>
      <w:r w:rsidRPr="003C5124">
        <w:rPr>
          <w:rFonts w:cs="Calibri"/>
        </w:rPr>
        <w:t>Disturbance Payments</w:t>
      </w:r>
    </w:p>
    <w:p w14:paraId="1FA4E9F4" w14:textId="77777777" w:rsidR="004C0062" w:rsidRPr="003C5124" w:rsidRDefault="004C0062" w:rsidP="004775BB">
      <w:pPr>
        <w:pStyle w:val="NoSpacing"/>
        <w:ind w:left="426"/>
        <w:rPr>
          <w:rFonts w:cs="Calibri"/>
        </w:rPr>
      </w:pPr>
    </w:p>
    <w:p w14:paraId="3F5484B6" w14:textId="55407ABE" w:rsidR="001511FE" w:rsidRPr="003C5124" w:rsidRDefault="00F54EF6" w:rsidP="00BA05EE">
      <w:pPr>
        <w:pStyle w:val="NoSpacing"/>
        <w:ind w:left="993" w:firstLine="21"/>
        <w:rPr>
          <w:rFonts w:cs="Calibri"/>
        </w:rPr>
      </w:pPr>
      <w:r w:rsidRPr="003C5124">
        <w:rPr>
          <w:rFonts w:cs="Calibri"/>
        </w:rPr>
        <w:t>Where NWLDC wishes to undertake major repairs to a property, and the tenant is required to move out temporarily while the work takes place, a disturbance payment may be made</w:t>
      </w:r>
      <w:r w:rsidR="004C0062" w:rsidRPr="003C5124">
        <w:rPr>
          <w:rFonts w:cs="Calibri"/>
        </w:rPr>
        <w:t xml:space="preserve">. </w:t>
      </w:r>
      <w:r w:rsidR="00BA05EE" w:rsidRPr="003C5124">
        <w:rPr>
          <w:rFonts w:cs="Calibri"/>
        </w:rPr>
        <w:t>Thes</w:t>
      </w:r>
      <w:r w:rsidR="003C5124" w:rsidRPr="003C5124">
        <w:rPr>
          <w:rFonts w:cs="Calibri"/>
        </w:rPr>
        <w:t>e do not for part of the compensation policy and are covered elsewhere.</w:t>
      </w:r>
    </w:p>
    <w:p w14:paraId="2874001A" w14:textId="77777777" w:rsidR="00BC6895" w:rsidRPr="00E90633" w:rsidRDefault="00BC6895" w:rsidP="001572C7">
      <w:pPr>
        <w:pStyle w:val="NoSpacing"/>
        <w:rPr>
          <w:rFonts w:cs="Calibri"/>
          <w:color w:val="D86DCB" w:themeColor="accent5" w:themeTint="99"/>
        </w:rPr>
      </w:pPr>
    </w:p>
    <w:p w14:paraId="0534B1F3" w14:textId="77777777" w:rsidR="001572C7" w:rsidRPr="003C5124" w:rsidRDefault="001572C7" w:rsidP="00376187">
      <w:pPr>
        <w:pStyle w:val="NoSpacing"/>
        <w:numPr>
          <w:ilvl w:val="1"/>
          <w:numId w:val="36"/>
        </w:numPr>
        <w:ind w:left="993" w:hanging="644"/>
        <w:rPr>
          <w:rFonts w:cs="Calibri"/>
        </w:rPr>
      </w:pPr>
      <w:r w:rsidRPr="003C5124">
        <w:rPr>
          <w:rFonts w:cs="Calibri"/>
        </w:rPr>
        <w:t>Tenants Home Improvements</w:t>
      </w:r>
    </w:p>
    <w:p w14:paraId="519B7C36" w14:textId="77777777" w:rsidR="001572C7" w:rsidRPr="003C5124" w:rsidRDefault="001572C7" w:rsidP="004775BB">
      <w:pPr>
        <w:pStyle w:val="NoSpacing"/>
        <w:ind w:left="426"/>
        <w:rPr>
          <w:rFonts w:cs="Calibri"/>
        </w:rPr>
      </w:pPr>
    </w:p>
    <w:p w14:paraId="54F901A7" w14:textId="77777777" w:rsidR="00F54EF6" w:rsidRPr="003C5124" w:rsidRDefault="00F54EF6" w:rsidP="00BA05EE">
      <w:pPr>
        <w:pStyle w:val="NoSpacing"/>
        <w:ind w:left="993" w:firstLine="21"/>
        <w:rPr>
          <w:rFonts w:cs="Calibri"/>
        </w:rPr>
      </w:pPr>
      <w:r w:rsidRPr="003C5124">
        <w:rPr>
          <w:rFonts w:cs="Calibri"/>
        </w:rPr>
        <w:t>Tenants may make alterations to their home providing that written permission has been given by NWLDC prior to works taking place. It is the tenant’s responsibility to obtain any other necessary consents (i.e. planning permission), and to ensure that the work is completed to a high standard and in accordance with all necessary regulations (e.g. Building Control, Gas Safe, FENSA etc). NWLDC reserves the right to refuse the works prior to being undertaken, and to inspect the works during, and afterwards.</w:t>
      </w:r>
    </w:p>
    <w:p w14:paraId="6FC13BEE" w14:textId="77777777" w:rsidR="00B67BB9" w:rsidRPr="003C5124" w:rsidRDefault="00B67BB9" w:rsidP="004775BB">
      <w:pPr>
        <w:pStyle w:val="NoSpacing"/>
        <w:ind w:left="426"/>
        <w:rPr>
          <w:rFonts w:cs="Calibri"/>
        </w:rPr>
      </w:pPr>
    </w:p>
    <w:p w14:paraId="6325189D" w14:textId="77777777" w:rsidR="00F54EF6" w:rsidRPr="003C5124" w:rsidRDefault="00B67BB9" w:rsidP="00BA05EE">
      <w:pPr>
        <w:pStyle w:val="NoSpacing"/>
        <w:ind w:left="993" w:firstLine="21"/>
        <w:rPr>
          <w:rFonts w:cs="Calibri"/>
        </w:rPr>
      </w:pPr>
      <w:r w:rsidRPr="003C5124">
        <w:rPr>
          <w:rFonts w:cs="Calibri"/>
        </w:rPr>
        <w:t>When a tenant leaves their home, u</w:t>
      </w:r>
      <w:r w:rsidR="00F54EF6" w:rsidRPr="003C5124">
        <w:rPr>
          <w:rFonts w:cs="Calibri"/>
        </w:rPr>
        <w:t xml:space="preserve">nder “The Secure Tenants of Local Authorities (Compensation for Improvements) Regulations 1994”, compensation </w:t>
      </w:r>
      <w:r w:rsidRPr="003C5124">
        <w:rPr>
          <w:rFonts w:cs="Calibri"/>
        </w:rPr>
        <w:t xml:space="preserve">for improvements they have made </w:t>
      </w:r>
      <w:r w:rsidR="00F54EF6" w:rsidRPr="003C5124">
        <w:rPr>
          <w:rFonts w:cs="Calibri"/>
        </w:rPr>
        <w:t>can be paid, upon request</w:t>
      </w:r>
      <w:r w:rsidRPr="003C5124">
        <w:rPr>
          <w:rFonts w:cs="Calibri"/>
        </w:rPr>
        <w:t>.  The value of the compensation is determined through an assessment process laid down in the regulations.</w:t>
      </w:r>
      <w:r w:rsidR="00F54EF6" w:rsidRPr="003C5124">
        <w:rPr>
          <w:rFonts w:cs="Calibri"/>
        </w:rPr>
        <w:t xml:space="preserve"> </w:t>
      </w:r>
    </w:p>
    <w:p w14:paraId="2E863DDE" w14:textId="77777777" w:rsidR="003C5124" w:rsidRPr="003C5124" w:rsidRDefault="003C5124" w:rsidP="00BA05EE">
      <w:pPr>
        <w:pStyle w:val="NoSpacing"/>
        <w:ind w:left="993" w:firstLine="21"/>
        <w:rPr>
          <w:rFonts w:cs="Calibri"/>
        </w:rPr>
      </w:pPr>
    </w:p>
    <w:p w14:paraId="74652A63" w14:textId="1A700A64" w:rsidR="003C5124" w:rsidRPr="003C5124" w:rsidRDefault="003C5124" w:rsidP="00BA05EE">
      <w:pPr>
        <w:pStyle w:val="NoSpacing"/>
        <w:ind w:left="993" w:firstLine="21"/>
        <w:rPr>
          <w:rFonts w:cs="Calibri"/>
        </w:rPr>
      </w:pPr>
      <w:r w:rsidRPr="003C5124">
        <w:rPr>
          <w:rFonts w:cs="Calibri"/>
        </w:rPr>
        <w:t>We will provide tenants with details of the regulations on request.</w:t>
      </w:r>
    </w:p>
    <w:p w14:paraId="1FB23187" w14:textId="77777777" w:rsidR="001572C7" w:rsidRPr="00E90633" w:rsidRDefault="001572C7" w:rsidP="004775BB">
      <w:pPr>
        <w:pStyle w:val="NoSpacing"/>
        <w:ind w:left="426"/>
        <w:rPr>
          <w:rFonts w:cs="Calibri"/>
          <w:color w:val="D86DCB" w:themeColor="accent5" w:themeTint="99"/>
        </w:rPr>
      </w:pPr>
    </w:p>
    <w:p w14:paraId="1222D513" w14:textId="77777777" w:rsidR="001572C7" w:rsidRPr="003C5124" w:rsidRDefault="001572C7" w:rsidP="00376187">
      <w:pPr>
        <w:pStyle w:val="NoSpacing"/>
        <w:numPr>
          <w:ilvl w:val="1"/>
          <w:numId w:val="36"/>
        </w:numPr>
        <w:ind w:left="993" w:hanging="644"/>
        <w:rPr>
          <w:rFonts w:cs="Calibri"/>
        </w:rPr>
      </w:pPr>
      <w:r w:rsidRPr="003C5124">
        <w:rPr>
          <w:rFonts w:cs="Calibri"/>
        </w:rPr>
        <w:t>Time and Trouble</w:t>
      </w:r>
    </w:p>
    <w:p w14:paraId="5D54E2E3" w14:textId="77777777" w:rsidR="001572C7" w:rsidRPr="003C5124" w:rsidRDefault="001572C7" w:rsidP="004775BB">
      <w:pPr>
        <w:pStyle w:val="NoSpacing"/>
        <w:ind w:left="426"/>
        <w:rPr>
          <w:rFonts w:cs="Calibri"/>
          <w:bCs/>
        </w:rPr>
      </w:pPr>
    </w:p>
    <w:p w14:paraId="1C910605" w14:textId="50F02082" w:rsidR="00F54EF6" w:rsidRPr="003C5124" w:rsidRDefault="00F54EF6" w:rsidP="00BA05EE">
      <w:pPr>
        <w:pStyle w:val="NoSpacing"/>
        <w:ind w:left="993" w:firstLine="21"/>
        <w:rPr>
          <w:rFonts w:cs="Calibri"/>
        </w:rPr>
      </w:pPr>
      <w:r w:rsidRPr="003C5124">
        <w:rPr>
          <w:rFonts w:cs="Calibri"/>
        </w:rPr>
        <w:t>W</w:t>
      </w:r>
      <w:r w:rsidR="003C5124" w:rsidRPr="003C5124">
        <w:rPr>
          <w:rFonts w:cs="Calibri"/>
        </w:rPr>
        <w:t>hen calculating tim</w:t>
      </w:r>
      <w:r w:rsidRPr="003C5124">
        <w:rPr>
          <w:rFonts w:cs="Calibri"/>
        </w:rPr>
        <w:t xml:space="preserve">e </w:t>
      </w:r>
      <w:r w:rsidR="003C5124" w:rsidRPr="003C5124">
        <w:rPr>
          <w:rFonts w:cs="Calibri"/>
        </w:rPr>
        <w:t xml:space="preserve">and trouble payments we </w:t>
      </w:r>
      <w:r w:rsidRPr="003C5124">
        <w:rPr>
          <w:rFonts w:cs="Calibri"/>
        </w:rPr>
        <w:t>consider the extent of inconvenience a complainant has experienced to get a resolution to their problem.</w:t>
      </w:r>
      <w:r w:rsidR="001572C7" w:rsidRPr="003C5124">
        <w:rPr>
          <w:rFonts w:cs="Calibri"/>
        </w:rPr>
        <w:t xml:space="preserve"> </w:t>
      </w:r>
      <w:r w:rsidRPr="003C5124">
        <w:rPr>
          <w:rFonts w:cs="Calibri"/>
        </w:rPr>
        <w:t>In assessing whether time and trouble compensation is payable relevant factors could include:</w:t>
      </w:r>
    </w:p>
    <w:p w14:paraId="02A0A258" w14:textId="77777777" w:rsidR="001572C7" w:rsidRPr="003C5124" w:rsidRDefault="001572C7" w:rsidP="004775BB">
      <w:pPr>
        <w:pStyle w:val="NoSpacing"/>
        <w:ind w:left="426"/>
        <w:rPr>
          <w:rFonts w:cs="Calibri"/>
        </w:rPr>
      </w:pPr>
    </w:p>
    <w:p w14:paraId="6780CA1B" w14:textId="77777777" w:rsidR="001572C7" w:rsidRPr="003C5124" w:rsidRDefault="00F54EF6" w:rsidP="001572C7">
      <w:pPr>
        <w:pStyle w:val="NoSpacing"/>
        <w:numPr>
          <w:ilvl w:val="0"/>
          <w:numId w:val="21"/>
        </w:numPr>
        <w:ind w:left="1276"/>
        <w:rPr>
          <w:rFonts w:cs="Calibri"/>
        </w:rPr>
      </w:pPr>
      <w:r w:rsidRPr="003C5124">
        <w:rPr>
          <w:rFonts w:cs="Calibri"/>
        </w:rPr>
        <w:lastRenderedPageBreak/>
        <w:t>The length of time, including response times by the council, taken to deal with the problem and the complaint itself</w:t>
      </w:r>
      <w:r w:rsidR="001572C7" w:rsidRPr="003C5124">
        <w:rPr>
          <w:rFonts w:cs="Calibri"/>
        </w:rPr>
        <w:br/>
      </w:r>
    </w:p>
    <w:p w14:paraId="52D65A3B" w14:textId="77777777" w:rsidR="001572C7" w:rsidRPr="003C5124" w:rsidRDefault="00F54EF6" w:rsidP="001572C7">
      <w:pPr>
        <w:pStyle w:val="NoSpacing"/>
        <w:numPr>
          <w:ilvl w:val="0"/>
          <w:numId w:val="21"/>
        </w:numPr>
        <w:ind w:left="1276"/>
        <w:rPr>
          <w:rFonts w:cs="Calibri"/>
        </w:rPr>
      </w:pPr>
      <w:r w:rsidRPr="003C5124">
        <w:rPr>
          <w:rFonts w:cs="Calibri"/>
        </w:rPr>
        <w:t>The time and effort required from the complainant</w:t>
      </w:r>
      <w:r w:rsidR="001572C7" w:rsidRPr="003C5124">
        <w:rPr>
          <w:rFonts w:cs="Calibri"/>
        </w:rPr>
        <w:br/>
      </w:r>
    </w:p>
    <w:p w14:paraId="045073E9" w14:textId="77777777" w:rsidR="001572C7" w:rsidRPr="003C5124" w:rsidRDefault="00F54EF6" w:rsidP="001572C7">
      <w:pPr>
        <w:pStyle w:val="NoSpacing"/>
        <w:numPr>
          <w:ilvl w:val="0"/>
          <w:numId w:val="21"/>
        </w:numPr>
        <w:ind w:left="1276"/>
        <w:rPr>
          <w:rFonts w:cs="Calibri"/>
        </w:rPr>
      </w:pPr>
      <w:r w:rsidRPr="003C5124">
        <w:rPr>
          <w:rFonts w:cs="Calibri"/>
        </w:rPr>
        <w:t>Any specific difficulty experienced by the complainant in dealing with the council</w:t>
      </w:r>
      <w:r w:rsidR="001572C7" w:rsidRPr="003C5124">
        <w:rPr>
          <w:rFonts w:cs="Calibri"/>
        </w:rPr>
        <w:br/>
      </w:r>
    </w:p>
    <w:p w14:paraId="1D7B6965" w14:textId="77777777" w:rsidR="001572C7" w:rsidRPr="003C5124" w:rsidRDefault="00F54EF6" w:rsidP="001572C7">
      <w:pPr>
        <w:pStyle w:val="NoSpacing"/>
        <w:numPr>
          <w:ilvl w:val="0"/>
          <w:numId w:val="21"/>
        </w:numPr>
        <w:ind w:left="1276"/>
        <w:rPr>
          <w:rFonts w:cs="Calibri"/>
        </w:rPr>
      </w:pPr>
      <w:r w:rsidRPr="003C5124">
        <w:rPr>
          <w:rFonts w:cs="Calibri"/>
        </w:rPr>
        <w:t>The degree of inadequacy of the council’s response to</w:t>
      </w:r>
      <w:r w:rsidR="001572C7" w:rsidRPr="003C5124">
        <w:rPr>
          <w:rFonts w:cs="Calibri"/>
        </w:rPr>
        <w:t xml:space="preserve"> letters, phone calls or visits</w:t>
      </w:r>
      <w:r w:rsidR="001572C7" w:rsidRPr="003C5124">
        <w:rPr>
          <w:rFonts w:cs="Calibri"/>
        </w:rPr>
        <w:br/>
      </w:r>
    </w:p>
    <w:p w14:paraId="22870090" w14:textId="77777777" w:rsidR="001572C7" w:rsidRPr="003C5124" w:rsidRDefault="00F54EF6" w:rsidP="001572C7">
      <w:pPr>
        <w:pStyle w:val="NoSpacing"/>
        <w:numPr>
          <w:ilvl w:val="0"/>
          <w:numId w:val="21"/>
        </w:numPr>
        <w:ind w:left="1276"/>
        <w:rPr>
          <w:rFonts w:cs="Calibri"/>
        </w:rPr>
      </w:pPr>
      <w:r w:rsidRPr="003C5124">
        <w:rPr>
          <w:rFonts w:cs="Calibri"/>
        </w:rPr>
        <w:t xml:space="preserve">Whether there has been an element of wilful action on the part of the council that has resulted in </w:t>
      </w:r>
      <w:r w:rsidR="001572C7" w:rsidRPr="003C5124">
        <w:rPr>
          <w:rFonts w:cs="Calibri"/>
        </w:rPr>
        <w:t>poor management of the complaint</w:t>
      </w:r>
      <w:r w:rsidR="001572C7" w:rsidRPr="003C5124">
        <w:rPr>
          <w:rFonts w:cs="Calibri"/>
        </w:rPr>
        <w:br/>
      </w:r>
    </w:p>
    <w:p w14:paraId="302D68FC" w14:textId="77777777" w:rsidR="00F54EF6" w:rsidRDefault="00F54EF6" w:rsidP="001572C7">
      <w:pPr>
        <w:pStyle w:val="NoSpacing"/>
        <w:numPr>
          <w:ilvl w:val="0"/>
          <w:numId w:val="21"/>
        </w:numPr>
        <w:ind w:left="1276"/>
        <w:rPr>
          <w:rFonts w:cs="Calibri"/>
        </w:rPr>
      </w:pPr>
      <w:r w:rsidRPr="003C5124">
        <w:rPr>
          <w:rFonts w:cs="Calibri"/>
        </w:rPr>
        <w:t xml:space="preserve">The level of minor unquantifiable expenditure incurred by the complainant such as significant post, </w:t>
      </w:r>
      <w:proofErr w:type="gramStart"/>
      <w:r w:rsidRPr="003C5124">
        <w:rPr>
          <w:rFonts w:cs="Calibri"/>
        </w:rPr>
        <w:t>telephone</w:t>
      </w:r>
      <w:proofErr w:type="gramEnd"/>
      <w:r w:rsidRPr="003C5124">
        <w:rPr>
          <w:rFonts w:cs="Calibri"/>
        </w:rPr>
        <w:t xml:space="preserve"> or travel costs, whether the complainant was acting on behalf of others in pursuing the complaint, as a representative of a tenants’ group for example</w:t>
      </w:r>
    </w:p>
    <w:p w14:paraId="615612B4" w14:textId="77777777" w:rsidR="003C5124" w:rsidRDefault="003C5124" w:rsidP="003C5124">
      <w:pPr>
        <w:pStyle w:val="NoSpacing"/>
        <w:rPr>
          <w:rFonts w:cs="Calibri"/>
        </w:rPr>
      </w:pPr>
    </w:p>
    <w:p w14:paraId="31D52D59" w14:textId="40C082B3" w:rsidR="003C5124" w:rsidRPr="00C92072" w:rsidRDefault="003C5124" w:rsidP="003C5124">
      <w:pPr>
        <w:pStyle w:val="Heading2"/>
        <w:rPr>
          <w:color w:val="auto"/>
        </w:rPr>
      </w:pPr>
      <w:bookmarkStart w:id="6" w:name="_Toc161647989"/>
      <w:r w:rsidRPr="00C92072">
        <w:rPr>
          <w:color w:val="auto"/>
        </w:rPr>
        <w:t>5. Payments in kind</w:t>
      </w:r>
      <w:bookmarkEnd w:id="6"/>
    </w:p>
    <w:p w14:paraId="0AE53818" w14:textId="77777777" w:rsidR="003C5124" w:rsidRDefault="003C5124" w:rsidP="003C5124"/>
    <w:p w14:paraId="6C313CFB" w14:textId="29B94BFD" w:rsidR="003C5124" w:rsidRPr="003C5124" w:rsidRDefault="003C5124" w:rsidP="003C5124">
      <w:pPr>
        <w:ind w:left="720" w:hanging="440"/>
      </w:pPr>
      <w:r>
        <w:t>5.1</w:t>
      </w:r>
      <w:r>
        <w:tab/>
        <w:t xml:space="preserve">whilst in many circumstances a financial payment will be the most convenient method of compensation there will be occasions where it is agreed that payment in kind is more appropriate. </w:t>
      </w:r>
      <w:proofErr w:type="gramStart"/>
      <w:r>
        <w:t>Therefore</w:t>
      </w:r>
      <w:proofErr w:type="gramEnd"/>
      <w:r>
        <w:t xml:space="preserve"> we will liaise with the customer to identify how we can most appropriately compensate them for our service failure. We may for example carry out additional work in their home that would normally be rechargeable rather than make a payment.</w:t>
      </w:r>
    </w:p>
    <w:p w14:paraId="592148C3" w14:textId="77777777" w:rsidR="008056C2" w:rsidRPr="003C5124" w:rsidRDefault="008056C2" w:rsidP="00B327D0">
      <w:pPr>
        <w:pStyle w:val="NoSpacing"/>
        <w:rPr>
          <w:rFonts w:ascii="Arial" w:hAnsi="Arial" w:cs="Arial"/>
        </w:rPr>
      </w:pPr>
    </w:p>
    <w:p w14:paraId="6CF14A09" w14:textId="77777777" w:rsidR="00BC6895" w:rsidRPr="003C5124" w:rsidRDefault="00BC6895" w:rsidP="00126173">
      <w:pPr>
        <w:pStyle w:val="Heading2"/>
        <w:rPr>
          <w:color w:val="auto"/>
        </w:rPr>
      </w:pPr>
      <w:bookmarkStart w:id="7" w:name="_Toc161647990"/>
      <w:r w:rsidRPr="003C5124">
        <w:rPr>
          <w:color w:val="auto"/>
        </w:rPr>
        <w:t>5.</w:t>
      </w:r>
      <w:r w:rsidRPr="003C5124">
        <w:rPr>
          <w:color w:val="auto"/>
        </w:rPr>
        <w:tab/>
        <w:t>Responsible Party</w:t>
      </w:r>
      <w:bookmarkEnd w:id="7"/>
    </w:p>
    <w:p w14:paraId="7A585385" w14:textId="77777777" w:rsidR="003C5124" w:rsidRPr="003C5124" w:rsidRDefault="003C5124" w:rsidP="00126173">
      <w:pPr>
        <w:tabs>
          <w:tab w:val="left" w:pos="993"/>
        </w:tabs>
        <w:ind w:left="993"/>
        <w:rPr>
          <w:rFonts w:cs="Calibri"/>
        </w:rPr>
      </w:pPr>
    </w:p>
    <w:p w14:paraId="73C2E126" w14:textId="271C0E2B" w:rsidR="001572C7" w:rsidRPr="003C5124" w:rsidRDefault="00BC6895" w:rsidP="00126173">
      <w:pPr>
        <w:tabs>
          <w:tab w:val="left" w:pos="993"/>
        </w:tabs>
        <w:ind w:left="993"/>
      </w:pPr>
      <w:r w:rsidRPr="003C5124">
        <w:rPr>
          <w:rFonts w:cs="Calibri"/>
        </w:rPr>
        <w:t>The S</w:t>
      </w:r>
      <w:r w:rsidR="00BA05EE" w:rsidRPr="003C5124">
        <w:rPr>
          <w:rFonts w:cs="Calibri"/>
        </w:rPr>
        <w:t>trategy and</w:t>
      </w:r>
      <w:r w:rsidRPr="003C5124">
        <w:rPr>
          <w:rFonts w:cs="Calibri"/>
        </w:rPr>
        <w:t xml:space="preserve"> S</w:t>
      </w:r>
      <w:r w:rsidR="00BA05EE" w:rsidRPr="003C5124">
        <w:rPr>
          <w:rFonts w:cs="Calibri"/>
        </w:rPr>
        <w:t>ystems</w:t>
      </w:r>
      <w:r w:rsidRPr="003C5124">
        <w:rPr>
          <w:rFonts w:cs="Calibri"/>
        </w:rPr>
        <w:t xml:space="preserve"> Team Manager is responsible for the operational delivery of services in accordance with this policy.</w:t>
      </w:r>
    </w:p>
    <w:p w14:paraId="16446A84" w14:textId="6C30FF7E" w:rsidR="00BC6895" w:rsidRPr="003C5124" w:rsidRDefault="00BC6895" w:rsidP="00126173">
      <w:pPr>
        <w:pStyle w:val="Heading2"/>
        <w:rPr>
          <w:color w:val="auto"/>
        </w:rPr>
      </w:pPr>
      <w:bookmarkStart w:id="8" w:name="_Toc161647991"/>
      <w:r w:rsidRPr="003C5124">
        <w:rPr>
          <w:color w:val="auto"/>
        </w:rPr>
        <w:t>6.</w:t>
      </w:r>
      <w:r w:rsidRPr="003C5124">
        <w:rPr>
          <w:color w:val="auto"/>
        </w:rPr>
        <w:tab/>
      </w:r>
      <w:r w:rsidR="00BA05EE" w:rsidRPr="003C5124">
        <w:rPr>
          <w:color w:val="auto"/>
        </w:rPr>
        <w:t xml:space="preserve">Authorisation and </w:t>
      </w:r>
      <w:r w:rsidR="00126173" w:rsidRPr="003C5124">
        <w:rPr>
          <w:color w:val="auto"/>
        </w:rPr>
        <w:t>Payment</w:t>
      </w:r>
      <w:bookmarkEnd w:id="8"/>
    </w:p>
    <w:p w14:paraId="59B6F93B" w14:textId="77777777" w:rsidR="00BC6895" w:rsidRPr="003C5124" w:rsidRDefault="00BC6895" w:rsidP="00BC6895">
      <w:pPr>
        <w:pStyle w:val="NoSpacing"/>
        <w:rPr>
          <w:rFonts w:ascii="Arial" w:hAnsi="Arial" w:cs="Arial"/>
        </w:rPr>
      </w:pPr>
    </w:p>
    <w:p w14:paraId="5B843DE0" w14:textId="388F6D65" w:rsidR="00F54EF6" w:rsidRPr="003C5124" w:rsidRDefault="00126173" w:rsidP="00126173">
      <w:pPr>
        <w:pStyle w:val="Style1"/>
        <w:numPr>
          <w:ilvl w:val="0"/>
          <w:numId w:val="0"/>
        </w:numPr>
        <w:ind w:left="993"/>
        <w:rPr>
          <w:rFonts w:ascii="Calibri" w:hAnsi="Calibri" w:cs="Calibri"/>
        </w:rPr>
      </w:pPr>
      <w:r w:rsidRPr="003C5124">
        <w:rPr>
          <w:rFonts w:ascii="Calibri" w:hAnsi="Calibri" w:cs="Calibri"/>
        </w:rPr>
        <w:t>Compensation payments must be authorised by an appropriate person. These are based on the level of payment agreed and set out below</w:t>
      </w:r>
      <w:r w:rsidR="001572C7" w:rsidRPr="003C5124">
        <w:rPr>
          <w:rFonts w:ascii="Calibri" w:hAnsi="Calibri" w:cs="Calibri"/>
        </w:rPr>
        <w:br/>
      </w:r>
    </w:p>
    <w:p w14:paraId="7B46945C" w14:textId="77777777" w:rsidR="001572C7" w:rsidRPr="003C5124" w:rsidRDefault="00F54EF6" w:rsidP="001572C7">
      <w:pPr>
        <w:pStyle w:val="NoSpacing"/>
        <w:numPr>
          <w:ilvl w:val="2"/>
          <w:numId w:val="25"/>
        </w:numPr>
        <w:ind w:left="1276" w:hanging="283"/>
        <w:rPr>
          <w:rFonts w:cs="Calibri"/>
        </w:rPr>
      </w:pPr>
      <w:r w:rsidRPr="003C5124">
        <w:rPr>
          <w:rFonts w:cs="Calibri"/>
        </w:rPr>
        <w:t>Up to £200 – Team Leader</w:t>
      </w:r>
    </w:p>
    <w:p w14:paraId="5DB69364" w14:textId="77777777" w:rsidR="001572C7" w:rsidRPr="003C5124" w:rsidRDefault="00F54EF6" w:rsidP="001572C7">
      <w:pPr>
        <w:pStyle w:val="NoSpacing"/>
        <w:numPr>
          <w:ilvl w:val="2"/>
          <w:numId w:val="25"/>
        </w:numPr>
        <w:ind w:left="1276" w:hanging="283"/>
        <w:rPr>
          <w:rFonts w:cs="Calibri"/>
        </w:rPr>
      </w:pPr>
      <w:r w:rsidRPr="003C5124">
        <w:rPr>
          <w:rFonts w:cs="Calibri"/>
        </w:rPr>
        <w:t>Up to £500 – Team Manager</w:t>
      </w:r>
    </w:p>
    <w:p w14:paraId="40415AD7" w14:textId="77777777" w:rsidR="001572C7" w:rsidRPr="003C5124" w:rsidRDefault="00F54EF6" w:rsidP="001572C7">
      <w:pPr>
        <w:pStyle w:val="NoSpacing"/>
        <w:numPr>
          <w:ilvl w:val="2"/>
          <w:numId w:val="25"/>
        </w:numPr>
        <w:ind w:left="1276" w:hanging="283"/>
        <w:rPr>
          <w:rFonts w:cs="Calibri"/>
        </w:rPr>
      </w:pPr>
      <w:r w:rsidRPr="003C5124">
        <w:rPr>
          <w:rFonts w:cs="Calibri"/>
        </w:rPr>
        <w:t>£500 - £1,000 – Head of Service</w:t>
      </w:r>
    </w:p>
    <w:p w14:paraId="2646B915" w14:textId="77777777" w:rsidR="00F54EF6" w:rsidRPr="003C5124" w:rsidRDefault="00DE397A" w:rsidP="001572C7">
      <w:pPr>
        <w:pStyle w:val="NoSpacing"/>
        <w:numPr>
          <w:ilvl w:val="2"/>
          <w:numId w:val="25"/>
        </w:numPr>
        <w:ind w:left="1276" w:hanging="283"/>
        <w:rPr>
          <w:rFonts w:cs="Calibri"/>
        </w:rPr>
      </w:pPr>
      <w:r w:rsidRPr="003C5124">
        <w:rPr>
          <w:rFonts w:cs="Calibri"/>
        </w:rPr>
        <w:t xml:space="preserve">£1,000+ - Strategic </w:t>
      </w:r>
      <w:r w:rsidR="00F54EF6" w:rsidRPr="003C5124">
        <w:rPr>
          <w:rFonts w:cs="Calibri"/>
        </w:rPr>
        <w:t>Director</w:t>
      </w:r>
    </w:p>
    <w:p w14:paraId="02371F58" w14:textId="77777777" w:rsidR="001511FE" w:rsidRPr="003C5124" w:rsidRDefault="001511FE" w:rsidP="001511FE">
      <w:pPr>
        <w:pStyle w:val="NoSpacing"/>
        <w:rPr>
          <w:rFonts w:cs="Calibri"/>
        </w:rPr>
      </w:pPr>
    </w:p>
    <w:p w14:paraId="66C7A6E8" w14:textId="77777777" w:rsidR="00F54EF6" w:rsidRPr="003C5124" w:rsidRDefault="00F54EF6" w:rsidP="00126173">
      <w:pPr>
        <w:pStyle w:val="NoSpacing"/>
        <w:ind w:left="993"/>
        <w:rPr>
          <w:rFonts w:cs="Calibri"/>
        </w:rPr>
      </w:pPr>
      <w:r w:rsidRPr="003C5124">
        <w:rPr>
          <w:rFonts w:cs="Calibri"/>
        </w:rPr>
        <w:t xml:space="preserve">Following authorisation, we will write to the claimant and inform them of total award amount. The letter will contain a detailed list of all the factors considered and the costs awarded for each factor. </w:t>
      </w:r>
      <w:r w:rsidR="00B67BB9" w:rsidRPr="003C5124">
        <w:rPr>
          <w:rFonts w:cs="Calibri"/>
        </w:rPr>
        <w:t>C</w:t>
      </w:r>
      <w:r w:rsidRPr="003C5124">
        <w:rPr>
          <w:rFonts w:cs="Calibri"/>
        </w:rPr>
        <w:t>ompensation will usually be offset against any arrears the claimant owes to the council</w:t>
      </w:r>
      <w:r w:rsidR="00147E50" w:rsidRPr="003C5124">
        <w:rPr>
          <w:rFonts w:cs="Calibri"/>
        </w:rPr>
        <w:t xml:space="preserve"> unless there are exceptional circumstances</w:t>
      </w:r>
      <w:r w:rsidRPr="003C5124">
        <w:rPr>
          <w:rFonts w:cs="Calibri"/>
        </w:rPr>
        <w:t>. This will be in the order of Housing Rent, Council Tax</w:t>
      </w:r>
      <w:r w:rsidR="00B67BB9" w:rsidRPr="003C5124">
        <w:rPr>
          <w:rFonts w:cs="Calibri"/>
        </w:rPr>
        <w:t>/Housing Benefit Overpayment</w:t>
      </w:r>
      <w:r w:rsidRPr="003C5124">
        <w:rPr>
          <w:rFonts w:cs="Calibri"/>
        </w:rPr>
        <w:t xml:space="preserve"> and Sundry Debts.</w:t>
      </w:r>
    </w:p>
    <w:p w14:paraId="145AF0EB" w14:textId="77777777" w:rsidR="001572C7" w:rsidRPr="003C5124" w:rsidRDefault="001572C7" w:rsidP="004775BB">
      <w:pPr>
        <w:pStyle w:val="NoSpacing"/>
        <w:ind w:left="426"/>
        <w:rPr>
          <w:rFonts w:cs="Calibri"/>
        </w:rPr>
      </w:pPr>
    </w:p>
    <w:p w14:paraId="7FD92AA7" w14:textId="77777777" w:rsidR="00F54EF6" w:rsidRPr="003C5124" w:rsidRDefault="00F54EF6" w:rsidP="00126173">
      <w:pPr>
        <w:pStyle w:val="NoSpacing"/>
        <w:ind w:left="993"/>
        <w:rPr>
          <w:rFonts w:cs="Calibri"/>
        </w:rPr>
      </w:pPr>
      <w:r w:rsidRPr="003C5124">
        <w:rPr>
          <w:rFonts w:cs="Calibri"/>
        </w:rPr>
        <w:t>Attached with the letter will be a form that the claimant must sign and return to the Council to confirm agreement of the final award. The Council</w:t>
      </w:r>
      <w:r w:rsidR="00B67BB9" w:rsidRPr="003C5124">
        <w:rPr>
          <w:rFonts w:cs="Calibri"/>
        </w:rPr>
        <w:t xml:space="preserve"> will normally make payments </w:t>
      </w:r>
      <w:r w:rsidRPr="003C5124">
        <w:rPr>
          <w:rFonts w:cs="Calibri"/>
        </w:rPr>
        <w:t xml:space="preserve">by BACS </w:t>
      </w:r>
      <w:r w:rsidR="00B67BB9" w:rsidRPr="003C5124">
        <w:rPr>
          <w:rFonts w:cs="Calibri"/>
        </w:rPr>
        <w:t xml:space="preserve">credit directly to a bank account </w:t>
      </w:r>
      <w:r w:rsidRPr="003C5124">
        <w:rPr>
          <w:rFonts w:cs="Calibri"/>
        </w:rPr>
        <w:t xml:space="preserve">within two weeks </w:t>
      </w:r>
      <w:r w:rsidR="00B67BB9" w:rsidRPr="003C5124">
        <w:rPr>
          <w:rFonts w:cs="Calibri"/>
        </w:rPr>
        <w:t xml:space="preserve">of </w:t>
      </w:r>
      <w:r w:rsidRPr="003C5124">
        <w:rPr>
          <w:rFonts w:cs="Calibri"/>
        </w:rPr>
        <w:t xml:space="preserve">receipt of the </w:t>
      </w:r>
      <w:r w:rsidR="00B67BB9" w:rsidRPr="003C5124">
        <w:rPr>
          <w:rFonts w:cs="Calibri"/>
        </w:rPr>
        <w:t xml:space="preserve">confirmation </w:t>
      </w:r>
      <w:r w:rsidRPr="003C5124">
        <w:rPr>
          <w:rFonts w:cs="Calibri"/>
        </w:rPr>
        <w:t>agreement signed by the claimant</w:t>
      </w:r>
      <w:r w:rsidR="00B67BB9" w:rsidRPr="003C5124">
        <w:rPr>
          <w:rFonts w:cs="Calibri"/>
        </w:rPr>
        <w:t>.</w:t>
      </w:r>
    </w:p>
    <w:p w14:paraId="49464D37" w14:textId="77777777" w:rsidR="00F54EF6" w:rsidRPr="003C5124" w:rsidRDefault="00F54EF6" w:rsidP="004775BB">
      <w:pPr>
        <w:pStyle w:val="NoSpacing"/>
        <w:ind w:left="426"/>
        <w:rPr>
          <w:rFonts w:ascii="Arial" w:hAnsi="Arial" w:cs="Arial"/>
        </w:rPr>
      </w:pPr>
    </w:p>
    <w:p w14:paraId="290D1D42" w14:textId="77777777" w:rsidR="00BC6895" w:rsidRPr="003C5124" w:rsidRDefault="00BC6895" w:rsidP="00126173">
      <w:pPr>
        <w:pStyle w:val="Heading2"/>
        <w:rPr>
          <w:color w:val="auto"/>
        </w:rPr>
      </w:pPr>
      <w:bookmarkStart w:id="9" w:name="_Toc24452779"/>
      <w:bookmarkStart w:id="10" w:name="_Toc161647992"/>
      <w:r w:rsidRPr="003C5124">
        <w:rPr>
          <w:color w:val="auto"/>
        </w:rPr>
        <w:lastRenderedPageBreak/>
        <w:t>7.</w:t>
      </w:r>
      <w:r w:rsidRPr="003C5124">
        <w:rPr>
          <w:color w:val="auto"/>
        </w:rPr>
        <w:tab/>
        <w:t>Compliments and Complaints</w:t>
      </w:r>
      <w:bookmarkEnd w:id="9"/>
      <w:bookmarkEnd w:id="10"/>
    </w:p>
    <w:p w14:paraId="7728447D" w14:textId="77777777" w:rsidR="00BC6895" w:rsidRPr="003C5124" w:rsidRDefault="00BC6895" w:rsidP="00BC6895">
      <w:pPr>
        <w:jc w:val="both"/>
        <w:rPr>
          <w:rFonts w:cs="Calibri"/>
        </w:rPr>
      </w:pPr>
    </w:p>
    <w:p w14:paraId="5ED8759B" w14:textId="59B2F9CD" w:rsidR="00BC6895" w:rsidRPr="003C5124" w:rsidRDefault="00BC6895" w:rsidP="00126173">
      <w:pPr>
        <w:autoSpaceDE w:val="0"/>
        <w:autoSpaceDN w:val="0"/>
        <w:adjustRightInd w:val="0"/>
        <w:ind w:left="993" w:hanging="993"/>
        <w:jc w:val="both"/>
        <w:rPr>
          <w:rFonts w:cs="Calibri"/>
        </w:rPr>
      </w:pPr>
      <w:r w:rsidRPr="003C5124">
        <w:rPr>
          <w:rFonts w:cs="Calibri"/>
          <w:lang w:eastAsia="en-GB"/>
        </w:rPr>
        <w:t>7.</w:t>
      </w:r>
      <w:r w:rsidR="00126173" w:rsidRPr="003C5124">
        <w:rPr>
          <w:rFonts w:cs="Calibri"/>
          <w:lang w:eastAsia="en-GB"/>
        </w:rPr>
        <w:t>1</w:t>
      </w:r>
      <w:r w:rsidR="00126173" w:rsidRPr="003C5124">
        <w:rPr>
          <w:rFonts w:cs="Calibri"/>
          <w:lang w:eastAsia="en-GB"/>
        </w:rPr>
        <w:tab/>
      </w:r>
      <w:r w:rsidRPr="003C5124">
        <w:rPr>
          <w:rFonts w:cs="Calibri"/>
          <w:lang w:eastAsia="en-GB"/>
        </w:rPr>
        <w:t xml:space="preserve">Tenants views are </w:t>
      </w:r>
      <w:r w:rsidRPr="003C5124">
        <w:rPr>
          <w:rFonts w:cs="Calibri"/>
        </w:rPr>
        <w:t>actively encouraged, and a</w:t>
      </w:r>
      <w:r w:rsidRPr="003C5124">
        <w:rPr>
          <w:rFonts w:cs="Calibri"/>
          <w:lang w:eastAsia="en-GB"/>
        </w:rPr>
        <w:t xml:space="preserve">ll tenants have the opportunity to provide feedback regarding the service they have received. </w:t>
      </w:r>
    </w:p>
    <w:p w14:paraId="3124A170" w14:textId="34604810" w:rsidR="00BC6895" w:rsidRPr="003C5124" w:rsidRDefault="00BC6895" w:rsidP="00126173">
      <w:pPr>
        <w:tabs>
          <w:tab w:val="left" w:pos="993"/>
        </w:tabs>
        <w:ind w:left="990" w:hanging="990"/>
        <w:jc w:val="both"/>
        <w:rPr>
          <w:rFonts w:cs="Calibri"/>
          <w:lang w:eastAsia="en-GB"/>
        </w:rPr>
      </w:pPr>
      <w:r w:rsidRPr="003C5124">
        <w:rPr>
          <w:rFonts w:cs="Calibri"/>
          <w:lang w:eastAsia="en-GB"/>
        </w:rPr>
        <w:t>7.2</w:t>
      </w:r>
      <w:r w:rsidRPr="003C5124">
        <w:rPr>
          <w:rFonts w:cs="Calibri"/>
          <w:lang w:eastAsia="en-GB"/>
        </w:rPr>
        <w:tab/>
      </w:r>
      <w:r w:rsidR="00126173" w:rsidRPr="003C5124">
        <w:rPr>
          <w:rFonts w:cs="Calibri"/>
          <w:lang w:eastAsia="en-GB"/>
        </w:rPr>
        <w:tab/>
      </w:r>
      <w:r w:rsidRPr="003C5124">
        <w:rPr>
          <w:rFonts w:cs="Calibri"/>
          <w:lang w:eastAsia="en-GB"/>
        </w:rPr>
        <w:t>All complaints received in respect of the service covered by this policy will be determined whether they are a compliant or a request of service.</w:t>
      </w:r>
    </w:p>
    <w:p w14:paraId="65520F44" w14:textId="77777777" w:rsidR="00BC6895" w:rsidRPr="003C5124" w:rsidRDefault="00BC6895" w:rsidP="00126173">
      <w:pPr>
        <w:tabs>
          <w:tab w:val="left" w:pos="993"/>
        </w:tabs>
        <w:ind w:left="993" w:hanging="993"/>
        <w:jc w:val="both"/>
        <w:rPr>
          <w:rFonts w:cs="Calibri"/>
          <w:lang w:eastAsia="en-GB"/>
        </w:rPr>
      </w:pPr>
      <w:r w:rsidRPr="003C5124">
        <w:rPr>
          <w:rFonts w:cs="Calibri"/>
          <w:lang w:eastAsia="en-GB"/>
        </w:rPr>
        <w:t>7.3</w:t>
      </w:r>
      <w:r w:rsidRPr="003C5124">
        <w:rPr>
          <w:rFonts w:cs="Calibri"/>
          <w:lang w:eastAsia="en-GB"/>
        </w:rPr>
        <w:tab/>
        <w:t xml:space="preserve">Complaints will be dealt with in accordance </w:t>
      </w:r>
      <w:proofErr w:type="gramStart"/>
      <w:r w:rsidRPr="003C5124">
        <w:rPr>
          <w:rFonts w:cs="Calibri"/>
          <w:lang w:eastAsia="en-GB"/>
        </w:rPr>
        <w:t>to</w:t>
      </w:r>
      <w:proofErr w:type="gramEnd"/>
      <w:r w:rsidRPr="003C5124">
        <w:rPr>
          <w:rFonts w:cs="Calibri"/>
          <w:lang w:eastAsia="en-GB"/>
        </w:rPr>
        <w:t xml:space="preserve"> the Council Complaints Policy. </w:t>
      </w:r>
    </w:p>
    <w:p w14:paraId="18208BC8" w14:textId="77777777" w:rsidR="00BC6895" w:rsidRPr="003C5124" w:rsidRDefault="00BC6895" w:rsidP="00126173">
      <w:pPr>
        <w:tabs>
          <w:tab w:val="left" w:pos="993"/>
        </w:tabs>
        <w:ind w:left="993" w:hanging="993"/>
        <w:jc w:val="both"/>
        <w:rPr>
          <w:rFonts w:cs="Calibri"/>
          <w:lang w:eastAsia="en-GB"/>
        </w:rPr>
      </w:pPr>
      <w:r w:rsidRPr="003C5124">
        <w:rPr>
          <w:rFonts w:cs="Calibri"/>
          <w:lang w:eastAsia="en-GB"/>
        </w:rPr>
        <w:t>7.4</w:t>
      </w:r>
      <w:r w:rsidRPr="003C5124">
        <w:rPr>
          <w:rFonts w:cs="Calibri"/>
          <w:lang w:eastAsia="en-GB"/>
        </w:rPr>
        <w:tab/>
        <w:t>Both compliments and complaints have equal merit to help improve the services we deliver and identify good working practices to share with others.</w:t>
      </w:r>
    </w:p>
    <w:p w14:paraId="339F3699" w14:textId="77777777" w:rsidR="001572C7" w:rsidRPr="003C5124" w:rsidRDefault="00BC6895" w:rsidP="00126173">
      <w:pPr>
        <w:tabs>
          <w:tab w:val="left" w:pos="993"/>
        </w:tabs>
        <w:ind w:left="993" w:hanging="993"/>
        <w:jc w:val="both"/>
        <w:rPr>
          <w:rFonts w:cs="Calibri"/>
        </w:rPr>
      </w:pPr>
      <w:r w:rsidRPr="003C5124">
        <w:rPr>
          <w:rFonts w:cs="Calibri"/>
          <w:lang w:eastAsia="en-GB"/>
        </w:rPr>
        <w:t>7.5</w:t>
      </w:r>
      <w:r w:rsidRPr="003C5124">
        <w:rPr>
          <w:rFonts w:cs="Calibri"/>
          <w:lang w:eastAsia="en-GB"/>
        </w:rPr>
        <w:tab/>
      </w:r>
      <w:r w:rsidRPr="003C5124">
        <w:rPr>
          <w:rFonts w:cs="Calibri"/>
        </w:rPr>
        <w:t xml:space="preserve">Compliments and complaints information is collected by </w:t>
      </w:r>
      <w:r w:rsidR="00315ABB" w:rsidRPr="003C5124">
        <w:rPr>
          <w:rFonts w:cs="Calibri"/>
        </w:rPr>
        <w:t>officers</w:t>
      </w:r>
      <w:r w:rsidRPr="003C5124">
        <w:rPr>
          <w:rFonts w:cs="Calibri"/>
        </w:rPr>
        <w:t xml:space="preserve"> that are not directly involved </w:t>
      </w:r>
      <w:r w:rsidR="00315ABB" w:rsidRPr="003C5124">
        <w:rPr>
          <w:rFonts w:cs="Calibri"/>
        </w:rPr>
        <w:t>front line delivery of the Housing Service.</w:t>
      </w:r>
    </w:p>
    <w:p w14:paraId="7DFE553C" w14:textId="77777777" w:rsidR="00BC6895" w:rsidRPr="003C5124" w:rsidRDefault="00BC6895" w:rsidP="00126173">
      <w:pPr>
        <w:pStyle w:val="Heading2"/>
        <w:rPr>
          <w:color w:val="auto"/>
        </w:rPr>
      </w:pPr>
      <w:bookmarkStart w:id="11" w:name="_Toc24452780"/>
      <w:bookmarkStart w:id="12" w:name="_Toc161647993"/>
      <w:r w:rsidRPr="003C5124">
        <w:rPr>
          <w:color w:val="auto"/>
        </w:rPr>
        <w:t>8.</w:t>
      </w:r>
      <w:r w:rsidRPr="003C5124">
        <w:rPr>
          <w:color w:val="auto"/>
        </w:rPr>
        <w:tab/>
        <w:t>Equality and Diversity</w:t>
      </w:r>
      <w:bookmarkEnd w:id="11"/>
      <w:bookmarkEnd w:id="12"/>
    </w:p>
    <w:p w14:paraId="2118CDD8" w14:textId="77777777" w:rsidR="00BC6895" w:rsidRPr="003C5124" w:rsidRDefault="00BC6895" w:rsidP="00BC6895">
      <w:pPr>
        <w:jc w:val="both"/>
        <w:rPr>
          <w:rFonts w:cs="Calibri"/>
        </w:rPr>
      </w:pPr>
    </w:p>
    <w:p w14:paraId="4F9D9270" w14:textId="77777777" w:rsidR="00BC6895" w:rsidRPr="003C5124" w:rsidRDefault="00BC6895" w:rsidP="00126173">
      <w:pPr>
        <w:ind w:left="993" w:hanging="993"/>
        <w:jc w:val="both"/>
        <w:rPr>
          <w:rFonts w:cs="Calibri"/>
        </w:rPr>
      </w:pPr>
      <w:r w:rsidRPr="003C5124">
        <w:rPr>
          <w:rFonts w:cs="Calibri"/>
        </w:rPr>
        <w:t>8.1</w:t>
      </w:r>
      <w:r w:rsidRPr="003C5124">
        <w:rPr>
          <w:rFonts w:cs="Calibri"/>
        </w:rPr>
        <w:tab/>
        <w:t xml:space="preserve">We aim to ensure that our policies and procedures are fair and transparent; and that we work towards achieving balanced and sustainable communities in accordance with our equality and diversity goals. </w:t>
      </w:r>
    </w:p>
    <w:p w14:paraId="6B07AAA7" w14:textId="77777777" w:rsidR="00BC6895" w:rsidRPr="003C5124" w:rsidRDefault="00BC6895" w:rsidP="00126173">
      <w:pPr>
        <w:ind w:left="993" w:hanging="993"/>
        <w:jc w:val="both"/>
        <w:rPr>
          <w:rFonts w:cs="Calibri"/>
        </w:rPr>
      </w:pPr>
      <w:r w:rsidRPr="003C5124">
        <w:rPr>
          <w:rFonts w:cs="Calibri"/>
        </w:rPr>
        <w:t>8.2</w:t>
      </w:r>
      <w:r w:rsidRPr="003C5124">
        <w:rPr>
          <w:rFonts w:cs="Calibri"/>
        </w:rPr>
        <w:tab/>
        <w:t>This policy has been subject to the Council’s Equalities Impact Assessment (EIA) screening matrix and no negative impacts have been identified; two areas showed positive impacts for age and disability.</w:t>
      </w:r>
    </w:p>
    <w:p w14:paraId="202AABF3" w14:textId="77777777" w:rsidR="00BC6895" w:rsidRPr="003C5124" w:rsidRDefault="00BC6895" w:rsidP="00126173">
      <w:pPr>
        <w:pStyle w:val="Default"/>
        <w:ind w:left="993" w:hanging="993"/>
        <w:jc w:val="both"/>
        <w:rPr>
          <w:rFonts w:ascii="Calibri" w:hAnsi="Calibri" w:cs="Calibri"/>
          <w:color w:val="auto"/>
          <w:sz w:val="22"/>
          <w:szCs w:val="22"/>
        </w:rPr>
      </w:pPr>
      <w:r w:rsidRPr="003C5124">
        <w:rPr>
          <w:rFonts w:ascii="Calibri" w:hAnsi="Calibri" w:cs="Calibri"/>
          <w:color w:val="auto"/>
          <w:sz w:val="22"/>
          <w:szCs w:val="22"/>
        </w:rPr>
        <w:t>8.3</w:t>
      </w:r>
      <w:r w:rsidRPr="003C5124">
        <w:rPr>
          <w:rFonts w:ascii="Calibri" w:hAnsi="Calibri" w:cs="Calibri"/>
          <w:color w:val="auto"/>
          <w:sz w:val="22"/>
          <w:szCs w:val="22"/>
        </w:rPr>
        <w:tab/>
        <w:t>We aim to work with other stakeholders both internal and external to ensure the needs, requirements and circumstances of each tenant are considered, this includes any identified health or mobility issues.</w:t>
      </w:r>
    </w:p>
    <w:p w14:paraId="201356AE" w14:textId="77777777" w:rsidR="00BC6895" w:rsidRPr="003C5124" w:rsidRDefault="00BC6895" w:rsidP="00BC6895">
      <w:pPr>
        <w:pStyle w:val="Default"/>
        <w:jc w:val="both"/>
        <w:rPr>
          <w:rFonts w:ascii="Calibri" w:hAnsi="Calibri" w:cs="Calibri"/>
          <w:color w:val="auto"/>
          <w:sz w:val="22"/>
          <w:szCs w:val="22"/>
        </w:rPr>
      </w:pPr>
    </w:p>
    <w:p w14:paraId="20F11D0A" w14:textId="77777777" w:rsidR="00BC6895" w:rsidRPr="003C5124" w:rsidRDefault="00BC6895" w:rsidP="00126173">
      <w:pPr>
        <w:pStyle w:val="Heading2"/>
        <w:rPr>
          <w:color w:val="auto"/>
        </w:rPr>
      </w:pPr>
      <w:bookmarkStart w:id="13" w:name="_Toc24452781"/>
      <w:bookmarkStart w:id="14" w:name="_Toc161647994"/>
      <w:r w:rsidRPr="003C5124">
        <w:rPr>
          <w:color w:val="auto"/>
        </w:rPr>
        <w:t>9.</w:t>
      </w:r>
      <w:r w:rsidRPr="003C5124">
        <w:rPr>
          <w:color w:val="auto"/>
        </w:rPr>
        <w:tab/>
        <w:t>Implementation and Monitoring</w:t>
      </w:r>
      <w:bookmarkEnd w:id="13"/>
      <w:bookmarkEnd w:id="14"/>
    </w:p>
    <w:p w14:paraId="5CF3DB94" w14:textId="77777777" w:rsidR="00BC6895" w:rsidRPr="003C5124" w:rsidRDefault="00BC6895" w:rsidP="00BC6895"/>
    <w:p w14:paraId="123B9988" w14:textId="77777777" w:rsidR="00BC6895" w:rsidRPr="003C5124" w:rsidRDefault="00BC6895" w:rsidP="00126173">
      <w:pPr>
        <w:ind w:left="993" w:hanging="993"/>
        <w:jc w:val="both"/>
        <w:rPr>
          <w:rFonts w:cs="Calibri"/>
          <w:i/>
        </w:rPr>
      </w:pPr>
      <w:r w:rsidRPr="003C5124">
        <w:rPr>
          <w:rFonts w:cs="Calibri"/>
        </w:rPr>
        <w:t>9.1</w:t>
      </w:r>
      <w:r w:rsidRPr="003C5124">
        <w:rPr>
          <w:rFonts w:cs="Calibri"/>
        </w:rPr>
        <w:tab/>
        <w:t>The Strategic Director is responsible for implementing and monitoring of this policy.</w:t>
      </w:r>
    </w:p>
    <w:p w14:paraId="137DA4F1" w14:textId="77777777" w:rsidR="00BC6895" w:rsidRPr="003C5124" w:rsidRDefault="00BC6895" w:rsidP="00126173">
      <w:pPr>
        <w:ind w:left="993" w:hanging="993"/>
        <w:jc w:val="both"/>
        <w:rPr>
          <w:rFonts w:cs="Calibri"/>
          <w:lang w:eastAsia="en-GB"/>
        </w:rPr>
      </w:pPr>
      <w:r w:rsidRPr="003C5124">
        <w:rPr>
          <w:rFonts w:cs="Calibri"/>
        </w:rPr>
        <w:t>9.2</w:t>
      </w:r>
      <w:r w:rsidRPr="003C5124">
        <w:rPr>
          <w:rFonts w:cs="Calibri"/>
        </w:rPr>
        <w:tab/>
        <w:t xml:space="preserve">This </w:t>
      </w:r>
      <w:r w:rsidRPr="003C5124">
        <w:rPr>
          <w:rFonts w:cs="Calibri"/>
          <w:lang w:eastAsia="en-GB"/>
        </w:rPr>
        <w:t xml:space="preserve">Policy will be reviewed every 3 years (from the date approved), to ensure its continuous suitability, </w:t>
      </w:r>
      <w:proofErr w:type="gramStart"/>
      <w:r w:rsidRPr="003C5124">
        <w:rPr>
          <w:rFonts w:cs="Calibri"/>
          <w:lang w:eastAsia="en-GB"/>
        </w:rPr>
        <w:t>adequacy</w:t>
      </w:r>
      <w:proofErr w:type="gramEnd"/>
      <w:r w:rsidRPr="003C5124">
        <w:rPr>
          <w:rFonts w:cs="Calibri"/>
          <w:lang w:eastAsia="en-GB"/>
        </w:rPr>
        <w:t xml:space="preserve"> and effectiveness. An intermediate review may be required by the introduction of new legislation, regulatory or operational changes.</w:t>
      </w:r>
    </w:p>
    <w:p w14:paraId="562D5D4F" w14:textId="0B647102" w:rsidR="00BC6895" w:rsidRPr="003C5124" w:rsidRDefault="00BC6895" w:rsidP="00126173">
      <w:pPr>
        <w:ind w:left="993" w:hanging="993"/>
        <w:jc w:val="both"/>
        <w:rPr>
          <w:rFonts w:cs="Calibri"/>
          <w:lang w:eastAsia="en-GB"/>
        </w:rPr>
      </w:pPr>
      <w:r w:rsidRPr="003C5124">
        <w:rPr>
          <w:rFonts w:cs="Calibri"/>
          <w:lang w:eastAsia="en-GB"/>
        </w:rPr>
        <w:t xml:space="preserve">9.3      </w:t>
      </w:r>
      <w:r w:rsidR="00126173" w:rsidRPr="003C5124">
        <w:rPr>
          <w:rFonts w:cs="Calibri"/>
          <w:lang w:eastAsia="en-GB"/>
        </w:rPr>
        <w:tab/>
      </w:r>
      <w:r w:rsidRPr="003C5124">
        <w:rPr>
          <w:rFonts w:cs="Calibri"/>
          <w:lang w:eastAsia="en-GB"/>
        </w:rPr>
        <w:t>The relevant working group(s) have been consulted in the development of this policy and will be consulted with for all future changes or revisions.</w:t>
      </w:r>
    </w:p>
    <w:p w14:paraId="25617C8A" w14:textId="77777777" w:rsidR="00BC6895" w:rsidRPr="003C5124" w:rsidRDefault="00BC6895" w:rsidP="00126173">
      <w:pPr>
        <w:ind w:left="993" w:hanging="993"/>
        <w:jc w:val="both"/>
        <w:rPr>
          <w:rFonts w:cs="Calibri"/>
        </w:rPr>
      </w:pPr>
      <w:r w:rsidRPr="003C5124">
        <w:rPr>
          <w:rFonts w:cs="Calibri"/>
          <w:lang w:eastAsia="en-GB"/>
        </w:rPr>
        <w:t>9.4</w:t>
      </w:r>
      <w:r w:rsidRPr="003C5124">
        <w:rPr>
          <w:rFonts w:cs="Calibri"/>
          <w:lang w:eastAsia="en-GB"/>
        </w:rPr>
        <w:tab/>
      </w:r>
      <w:r w:rsidRPr="003C5124">
        <w:rPr>
          <w:rFonts w:cs="Calibri"/>
        </w:rPr>
        <w:t xml:space="preserve">Managers of the </w:t>
      </w:r>
      <w:r w:rsidR="00315ABB" w:rsidRPr="003C5124">
        <w:rPr>
          <w:rFonts w:cs="Calibri"/>
        </w:rPr>
        <w:t>Housing</w:t>
      </w:r>
      <w:r w:rsidRPr="003C5124">
        <w:rPr>
          <w:rFonts w:cs="Calibri"/>
        </w:rPr>
        <w:t xml:space="preserve"> Service are responsible for making sure that all relevant employees are aware of the contents and responsibilities of this policy.</w:t>
      </w:r>
    </w:p>
    <w:p w14:paraId="595A9403" w14:textId="69869097" w:rsidR="00BC6895" w:rsidRPr="00C92072" w:rsidRDefault="00BC6895" w:rsidP="00C92072">
      <w:pPr>
        <w:pStyle w:val="Heading2"/>
        <w:rPr>
          <w:color w:val="auto"/>
        </w:rPr>
      </w:pPr>
      <w:bookmarkStart w:id="15" w:name="_Toc24452783"/>
      <w:bookmarkStart w:id="16" w:name="_Toc161647995"/>
      <w:r w:rsidRPr="00C92072">
        <w:rPr>
          <w:color w:val="auto"/>
        </w:rPr>
        <w:t>1</w:t>
      </w:r>
      <w:r w:rsidR="008D58E9">
        <w:rPr>
          <w:color w:val="auto"/>
        </w:rPr>
        <w:t>0</w:t>
      </w:r>
      <w:r w:rsidRPr="00C92072">
        <w:rPr>
          <w:color w:val="auto"/>
        </w:rPr>
        <w:t>.</w:t>
      </w:r>
      <w:r w:rsidRPr="00C92072">
        <w:rPr>
          <w:color w:val="auto"/>
        </w:rPr>
        <w:tab/>
        <w:t>Service Standards</w:t>
      </w:r>
      <w:bookmarkEnd w:id="15"/>
      <w:bookmarkEnd w:id="16"/>
    </w:p>
    <w:p w14:paraId="02ED1EF2" w14:textId="77777777" w:rsidR="00BC6895" w:rsidRPr="00C92072" w:rsidRDefault="00BC6895" w:rsidP="00BC6895">
      <w:pPr>
        <w:jc w:val="both"/>
        <w:rPr>
          <w:rFonts w:cs="Calibri"/>
        </w:rPr>
      </w:pPr>
    </w:p>
    <w:p w14:paraId="5DC8D3F3" w14:textId="5FBBCDB6" w:rsidR="00BC6895" w:rsidRDefault="00BC6895" w:rsidP="00126173">
      <w:pPr>
        <w:ind w:left="993" w:hanging="993"/>
        <w:jc w:val="both"/>
        <w:rPr>
          <w:rFonts w:cs="Calibri"/>
        </w:rPr>
      </w:pPr>
      <w:r w:rsidRPr="00C92072">
        <w:rPr>
          <w:rFonts w:cs="Calibri"/>
        </w:rPr>
        <w:t>1</w:t>
      </w:r>
      <w:r w:rsidR="008D58E9">
        <w:rPr>
          <w:rFonts w:cs="Calibri"/>
        </w:rPr>
        <w:t>0</w:t>
      </w:r>
      <w:r w:rsidR="001C4017" w:rsidRPr="00C92072">
        <w:rPr>
          <w:rFonts w:cs="Calibri"/>
        </w:rPr>
        <w:t>.</w:t>
      </w:r>
      <w:r w:rsidRPr="00C92072">
        <w:rPr>
          <w:rFonts w:cs="Calibri"/>
        </w:rPr>
        <w:t>1</w:t>
      </w:r>
      <w:r w:rsidRPr="00C92072">
        <w:rPr>
          <w:rFonts w:cs="Calibri"/>
        </w:rPr>
        <w:tab/>
        <w:t>Service Standards relating to</w:t>
      </w:r>
      <w:r w:rsidR="00315ABB" w:rsidRPr="00C92072">
        <w:rPr>
          <w:rFonts w:cs="Calibri"/>
        </w:rPr>
        <w:t xml:space="preserve"> this policy are provided on the NWLDC website</w:t>
      </w:r>
      <w:r w:rsidRPr="00C92072">
        <w:rPr>
          <w:rFonts w:cs="Calibri"/>
        </w:rPr>
        <w:t xml:space="preserve">. </w:t>
      </w:r>
      <w:r w:rsidR="00315ABB" w:rsidRPr="00C92072">
        <w:rPr>
          <w:rFonts w:cs="Calibri"/>
        </w:rPr>
        <w:t>This</w:t>
      </w:r>
      <w:r w:rsidRPr="00C92072">
        <w:rPr>
          <w:rFonts w:cs="Calibri"/>
        </w:rPr>
        <w:t xml:space="preserve"> will be reviewed every 3 years unless there are operational or legislative changes which may prompt an intermediate review. </w:t>
      </w:r>
    </w:p>
    <w:p w14:paraId="7C183F88" w14:textId="77777777" w:rsidR="00C92072" w:rsidRPr="00C92072" w:rsidRDefault="00C92072" w:rsidP="00126173">
      <w:pPr>
        <w:ind w:left="993" w:hanging="993"/>
        <w:jc w:val="both"/>
        <w:rPr>
          <w:rFonts w:cs="Calibri"/>
        </w:rPr>
      </w:pPr>
    </w:p>
    <w:p w14:paraId="7C77E74B" w14:textId="34285E47" w:rsidR="00BC6895" w:rsidRPr="00C92072" w:rsidRDefault="001C4017" w:rsidP="00C92072">
      <w:pPr>
        <w:pStyle w:val="Heading2"/>
        <w:rPr>
          <w:color w:val="auto"/>
        </w:rPr>
      </w:pPr>
      <w:bookmarkStart w:id="17" w:name="_Toc24452784"/>
      <w:bookmarkStart w:id="18" w:name="_Toc161647996"/>
      <w:r w:rsidRPr="00C92072">
        <w:rPr>
          <w:color w:val="auto"/>
        </w:rPr>
        <w:lastRenderedPageBreak/>
        <w:t>1</w:t>
      </w:r>
      <w:r w:rsidR="008D58E9">
        <w:rPr>
          <w:color w:val="auto"/>
        </w:rPr>
        <w:t>1</w:t>
      </w:r>
      <w:r w:rsidR="00BC6895" w:rsidRPr="00C92072">
        <w:rPr>
          <w:color w:val="auto"/>
        </w:rPr>
        <w:t>.</w:t>
      </w:r>
      <w:r w:rsidR="00BC6895" w:rsidRPr="00C92072">
        <w:rPr>
          <w:color w:val="auto"/>
        </w:rPr>
        <w:tab/>
        <w:t>Right to Review</w:t>
      </w:r>
      <w:bookmarkEnd w:id="17"/>
      <w:bookmarkEnd w:id="18"/>
    </w:p>
    <w:p w14:paraId="1EF12D2C" w14:textId="77777777" w:rsidR="00BC6895" w:rsidRPr="00C92072" w:rsidRDefault="00BC6895" w:rsidP="00BC6895">
      <w:pPr>
        <w:jc w:val="both"/>
        <w:rPr>
          <w:rFonts w:cs="Calibri"/>
        </w:rPr>
      </w:pPr>
      <w:r w:rsidRPr="00C92072">
        <w:rPr>
          <w:rFonts w:cs="Calibri"/>
        </w:rPr>
        <w:tab/>
      </w:r>
    </w:p>
    <w:p w14:paraId="255EAD74" w14:textId="4EF4F652" w:rsidR="00BC6895" w:rsidRPr="00C92072" w:rsidRDefault="001C4017" w:rsidP="00126173">
      <w:pPr>
        <w:ind w:left="993" w:hanging="993"/>
        <w:jc w:val="both"/>
        <w:rPr>
          <w:rFonts w:cs="Calibri"/>
        </w:rPr>
      </w:pPr>
      <w:r w:rsidRPr="00C92072">
        <w:rPr>
          <w:rFonts w:cs="Calibri"/>
        </w:rPr>
        <w:t>1</w:t>
      </w:r>
      <w:r w:rsidR="008D58E9">
        <w:rPr>
          <w:rFonts w:cs="Calibri"/>
        </w:rPr>
        <w:t>1</w:t>
      </w:r>
      <w:r w:rsidR="00315ABB" w:rsidRPr="00C92072">
        <w:rPr>
          <w:rFonts w:cs="Calibri"/>
        </w:rPr>
        <w:t>.1</w:t>
      </w:r>
      <w:r w:rsidR="00315ABB" w:rsidRPr="00C92072">
        <w:rPr>
          <w:rFonts w:cs="Calibri"/>
        </w:rPr>
        <w:tab/>
      </w:r>
      <w:r w:rsidR="00BC6895" w:rsidRPr="00C92072">
        <w:rPr>
          <w:rFonts w:cs="Calibri"/>
        </w:rPr>
        <w:t xml:space="preserve">Tenants may request access to information relevant </w:t>
      </w:r>
      <w:r w:rsidR="00315ABB" w:rsidRPr="00C92072">
        <w:rPr>
          <w:rFonts w:cs="Calibri"/>
        </w:rPr>
        <w:t>to information</w:t>
      </w:r>
      <w:r w:rsidR="00BC6895" w:rsidRPr="00C92072">
        <w:rPr>
          <w:rFonts w:cs="Calibri"/>
        </w:rPr>
        <w:t xml:space="preserve"> under the Freedom of I</w:t>
      </w:r>
      <w:r w:rsidR="00315ABB" w:rsidRPr="00C92072">
        <w:rPr>
          <w:rFonts w:cs="Calibri"/>
        </w:rPr>
        <w:t>nformation A</w:t>
      </w:r>
      <w:r w:rsidR="00BC6895" w:rsidRPr="00C92072">
        <w:rPr>
          <w:rFonts w:cs="Calibri"/>
        </w:rPr>
        <w:t>ct</w:t>
      </w:r>
      <w:r w:rsidR="00315ABB" w:rsidRPr="00C92072">
        <w:rPr>
          <w:rFonts w:cs="Calibri"/>
        </w:rPr>
        <w:t xml:space="preserve">     2000</w:t>
      </w:r>
      <w:r w:rsidR="00BC6895" w:rsidRPr="00C92072">
        <w:rPr>
          <w:rFonts w:cs="Calibri"/>
        </w:rPr>
        <w:t>.</w:t>
      </w:r>
    </w:p>
    <w:p w14:paraId="66B559D7" w14:textId="7538B141" w:rsidR="001C4017" w:rsidRPr="008D58E9" w:rsidRDefault="001C4017" w:rsidP="008D58E9">
      <w:pPr>
        <w:ind w:left="993" w:hanging="993"/>
        <w:jc w:val="both"/>
        <w:rPr>
          <w:rFonts w:cs="Calibri"/>
        </w:rPr>
      </w:pPr>
      <w:r w:rsidRPr="00C92072">
        <w:rPr>
          <w:rFonts w:cs="Calibri"/>
        </w:rPr>
        <w:t>1</w:t>
      </w:r>
      <w:r w:rsidR="008D58E9">
        <w:rPr>
          <w:rFonts w:cs="Calibri"/>
        </w:rPr>
        <w:t>1</w:t>
      </w:r>
      <w:r w:rsidR="00BC6895" w:rsidRPr="00C92072">
        <w:rPr>
          <w:rFonts w:cs="Calibri"/>
        </w:rPr>
        <w:t>.2</w:t>
      </w:r>
      <w:r w:rsidR="00BC6895" w:rsidRPr="00C92072">
        <w:rPr>
          <w:rFonts w:cs="Calibri"/>
        </w:rPr>
        <w:tab/>
        <w:t xml:space="preserve">Tenants are entitled to challenge decisions made under this policy using the Complaints and Members / MP </w:t>
      </w:r>
      <w:r w:rsidR="00315ABB" w:rsidRPr="00C92072">
        <w:rPr>
          <w:rFonts w:cs="Calibri"/>
        </w:rPr>
        <w:t xml:space="preserve">   </w:t>
      </w:r>
      <w:r w:rsidR="00BC6895" w:rsidRPr="00C92072">
        <w:rPr>
          <w:rFonts w:cs="Calibri"/>
        </w:rPr>
        <w:t>enquiry process.</w:t>
      </w:r>
    </w:p>
    <w:sectPr w:rsidR="001C4017" w:rsidRPr="008D58E9" w:rsidSect="004471F4">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6F140F" w14:textId="77777777" w:rsidR="004471F4" w:rsidRDefault="004471F4" w:rsidP="000668F3">
      <w:pPr>
        <w:spacing w:after="0" w:line="240" w:lineRule="auto"/>
      </w:pPr>
      <w:r>
        <w:separator/>
      </w:r>
    </w:p>
  </w:endnote>
  <w:endnote w:type="continuationSeparator" w:id="0">
    <w:p w14:paraId="318C99C9" w14:textId="77777777" w:rsidR="004471F4" w:rsidRDefault="004471F4" w:rsidP="00066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3AF2E" w14:textId="77777777" w:rsidR="00F32212" w:rsidRDefault="00F322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45314458"/>
      <w:docPartObj>
        <w:docPartGallery w:val="Page Numbers (Bottom of Page)"/>
        <w:docPartUnique/>
      </w:docPartObj>
    </w:sdtPr>
    <w:sdtEndPr>
      <w:rPr>
        <w:color w:val="7F7F7F" w:themeColor="background1" w:themeShade="7F"/>
        <w:spacing w:val="60"/>
      </w:rPr>
    </w:sdtEndPr>
    <w:sdtContent>
      <w:p w14:paraId="43BAB431" w14:textId="54178014" w:rsidR="00BA05EE" w:rsidRDefault="00BA05E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82DA747" w14:textId="77777777" w:rsidR="00BA05EE" w:rsidRDefault="00BA05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A2CF86" w14:textId="77777777" w:rsidR="00F32212" w:rsidRDefault="00F32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E64DF9" w14:textId="77777777" w:rsidR="004471F4" w:rsidRDefault="004471F4" w:rsidP="000668F3">
      <w:pPr>
        <w:spacing w:after="0" w:line="240" w:lineRule="auto"/>
      </w:pPr>
      <w:r>
        <w:separator/>
      </w:r>
    </w:p>
  </w:footnote>
  <w:footnote w:type="continuationSeparator" w:id="0">
    <w:p w14:paraId="106EB05A" w14:textId="77777777" w:rsidR="004471F4" w:rsidRDefault="004471F4" w:rsidP="00066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B9A913" w14:textId="3A4A14B9" w:rsidR="00F32212" w:rsidRDefault="00F32212">
    <w:pPr>
      <w:pStyle w:val="Header"/>
    </w:pPr>
    <w:r>
      <w:rPr>
        <w:noProof/>
      </w:rPr>
      <w:pict w14:anchorId="35E557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2016" o:spid="_x0000_s2050" type="#_x0000_t136" style="position:absolute;margin-left:0;margin-top:0;width:553.35pt;height:184.45pt;rotation:315;z-index:-251655168;mso-position-horizontal:center;mso-position-horizontal-relative:margin;mso-position-vertical:center;mso-position-vertical-relative:margin" o:allowincell="f" fillcolor="silver" stroked="f">
          <v:fill opacity=".5"/>
          <v:textpath style="font-family:&quot;Calibri&quot;;font-size:1pt" string="2024 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391AB8" w14:textId="1DD644AA" w:rsidR="00F32212" w:rsidRDefault="00F32212">
    <w:pPr>
      <w:pStyle w:val="Header"/>
    </w:pPr>
    <w:r>
      <w:rPr>
        <w:noProof/>
      </w:rPr>
      <w:pict w14:anchorId="6544DC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2017" o:spid="_x0000_s2051" type="#_x0000_t136" style="position:absolute;margin-left:0;margin-top:0;width:553.35pt;height:184.45pt;rotation:315;z-index:-251653120;mso-position-horizontal:center;mso-position-horizontal-relative:margin;mso-position-vertical:center;mso-position-vertical-relative:margin" o:allowincell="f" fillcolor="silver" stroked="f">
          <v:fill opacity=".5"/>
          <v:textpath style="font-family:&quot;Calibri&quot;;font-size:1pt" string="2024 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F65043" w14:textId="794B17A8" w:rsidR="00F32212" w:rsidRDefault="00F32212">
    <w:pPr>
      <w:pStyle w:val="Header"/>
    </w:pPr>
    <w:r>
      <w:rPr>
        <w:noProof/>
      </w:rPr>
      <w:pict w14:anchorId="4E7854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2015" o:spid="_x0000_s2049" type="#_x0000_t136" style="position:absolute;margin-left:0;margin-top:0;width:553.35pt;height:184.45pt;rotation:315;z-index:-251657216;mso-position-horizontal:center;mso-position-horizontal-relative:margin;mso-position-vertical:center;mso-position-vertical-relative:margin" o:allowincell="f" fillcolor="silver" stroked="f">
          <v:fill opacity=".5"/>
          <v:textpath style="font-family:&quot;Calibri&quot;;font-size:1pt" string="2024 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16AD0"/>
    <w:multiLevelType w:val="multilevel"/>
    <w:tmpl w:val="63D454D0"/>
    <w:lvl w:ilvl="0">
      <w:start w:val="3"/>
      <w:numFmt w:val="decimal"/>
      <w:lvlText w:val="%1."/>
      <w:lvlJc w:val="left"/>
      <w:pPr>
        <w:ind w:left="360" w:hanging="360"/>
      </w:pPr>
      <w:rPr>
        <w:rFonts w:hint="default"/>
        <w:b/>
      </w:rPr>
    </w:lvl>
    <w:lvl w:ilvl="1">
      <w:start w:val="1"/>
      <w:numFmt w:val="decimal"/>
      <w:pStyle w:val="Style1"/>
      <w:lvlText w:val="%1.%2"/>
      <w:lvlJc w:val="left"/>
      <w:pPr>
        <w:ind w:left="1069"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21A5BB4"/>
    <w:multiLevelType w:val="hybridMultilevel"/>
    <w:tmpl w:val="C640298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3A039A5"/>
    <w:multiLevelType w:val="hybridMultilevel"/>
    <w:tmpl w:val="5FF6F9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53C78A5"/>
    <w:multiLevelType w:val="hybridMultilevel"/>
    <w:tmpl w:val="EEDC19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23099C"/>
    <w:multiLevelType w:val="multilevel"/>
    <w:tmpl w:val="98F4311C"/>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A383749"/>
    <w:multiLevelType w:val="hybridMultilevel"/>
    <w:tmpl w:val="74C88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C32838"/>
    <w:multiLevelType w:val="multilevel"/>
    <w:tmpl w:val="208052C0"/>
    <w:lvl w:ilvl="0">
      <w:start w:val="1"/>
      <w:numFmt w:val="decimal"/>
      <w:lvlText w:val="%1."/>
      <w:lvlJc w:val="left"/>
      <w:pPr>
        <w:ind w:left="720" w:hanging="360"/>
      </w:pPr>
      <w:rPr>
        <w:b/>
      </w:rPr>
    </w:lvl>
    <w:lvl w:ilvl="1">
      <w:start w:val="2"/>
      <w:numFmt w:val="decimal"/>
      <w:isLgl/>
      <w:lvlText w:val="%1.%2"/>
      <w:lvlJc w:val="left"/>
      <w:pPr>
        <w:ind w:left="720" w:hanging="360"/>
      </w:pPr>
      <w:rPr>
        <w:rFonts w:ascii="Calibri" w:hAnsi="Calibri" w:cs="Calibri"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4A82BD1"/>
    <w:multiLevelType w:val="multilevel"/>
    <w:tmpl w:val="FE56DFF8"/>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A933E4B"/>
    <w:multiLevelType w:val="hybridMultilevel"/>
    <w:tmpl w:val="60364B6A"/>
    <w:lvl w:ilvl="0" w:tplc="00481E3C">
      <w:start w:val="27"/>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BEA0B90"/>
    <w:multiLevelType w:val="multilevel"/>
    <w:tmpl w:val="A684A22E"/>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FCC0D17"/>
    <w:multiLevelType w:val="hybridMultilevel"/>
    <w:tmpl w:val="371A4D16"/>
    <w:lvl w:ilvl="0" w:tplc="C8D40ED4">
      <w:start w:val="4"/>
      <w:numFmt w:val="bullet"/>
      <w:lvlText w:val=""/>
      <w:lvlJc w:val="left"/>
      <w:pPr>
        <w:ind w:left="1080" w:hanging="360"/>
      </w:pPr>
      <w:rPr>
        <w:rFonts w:ascii="Symbol" w:eastAsia="Calibri"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37F6F4D"/>
    <w:multiLevelType w:val="hybridMultilevel"/>
    <w:tmpl w:val="4D645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FF2239"/>
    <w:multiLevelType w:val="hybridMultilevel"/>
    <w:tmpl w:val="C5FE42B4"/>
    <w:lvl w:ilvl="0" w:tplc="B40EF2F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283CBD"/>
    <w:multiLevelType w:val="hybridMultilevel"/>
    <w:tmpl w:val="E048A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88112B"/>
    <w:multiLevelType w:val="hybridMultilevel"/>
    <w:tmpl w:val="C9F2F37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31530390"/>
    <w:multiLevelType w:val="hybridMultilevel"/>
    <w:tmpl w:val="BF9EB06E"/>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6" w15:restartNumberingAfterBreak="0">
    <w:nsid w:val="32C01A15"/>
    <w:multiLevelType w:val="hybridMultilevel"/>
    <w:tmpl w:val="E340CFC6"/>
    <w:lvl w:ilvl="0" w:tplc="123CC4F0">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34B0F10"/>
    <w:multiLevelType w:val="hybridMultilevel"/>
    <w:tmpl w:val="3342D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BF3479"/>
    <w:multiLevelType w:val="hybridMultilevel"/>
    <w:tmpl w:val="C5FE42B4"/>
    <w:lvl w:ilvl="0" w:tplc="B40EF2F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C523E2"/>
    <w:multiLevelType w:val="hybridMultilevel"/>
    <w:tmpl w:val="7FD6C63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40F53A61"/>
    <w:multiLevelType w:val="hybridMultilevel"/>
    <w:tmpl w:val="BDF27E00"/>
    <w:lvl w:ilvl="0" w:tplc="01A2DA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10100C0"/>
    <w:multiLevelType w:val="hybridMultilevel"/>
    <w:tmpl w:val="EDC2B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EC1FB2"/>
    <w:multiLevelType w:val="hybridMultilevel"/>
    <w:tmpl w:val="FB5A64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140F94"/>
    <w:multiLevelType w:val="multilevel"/>
    <w:tmpl w:val="B4EAE23E"/>
    <w:lvl w:ilvl="0">
      <w:start w:val="4"/>
      <w:numFmt w:val="decimal"/>
      <w:lvlText w:val="%1"/>
      <w:lvlJc w:val="left"/>
      <w:pPr>
        <w:ind w:left="360" w:hanging="360"/>
      </w:pPr>
      <w:rPr>
        <w:rFonts w:hint="default"/>
      </w:rPr>
    </w:lvl>
    <w:lvl w:ilvl="1">
      <w:start w:val="3"/>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4" w15:restartNumberingAfterBreak="0">
    <w:nsid w:val="50D77C22"/>
    <w:multiLevelType w:val="multilevel"/>
    <w:tmpl w:val="080C2394"/>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32624F3"/>
    <w:multiLevelType w:val="hybridMultilevel"/>
    <w:tmpl w:val="68FC0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4614906"/>
    <w:multiLevelType w:val="hybridMultilevel"/>
    <w:tmpl w:val="383E0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07240C"/>
    <w:multiLevelType w:val="multilevel"/>
    <w:tmpl w:val="7400C08C"/>
    <w:lvl w:ilvl="0">
      <w:start w:val="4"/>
      <w:numFmt w:val="decimal"/>
      <w:lvlText w:val="%1"/>
      <w:lvlJc w:val="left"/>
      <w:pPr>
        <w:ind w:left="360" w:hanging="360"/>
      </w:pPr>
      <w:rPr>
        <w:rFonts w:hint="default"/>
        <w:u w:val="single"/>
      </w:rPr>
    </w:lvl>
    <w:lvl w:ilvl="1">
      <w:start w:val="2"/>
      <w:numFmt w:val="decimal"/>
      <w:lvlText w:val="%1.%2"/>
      <w:lvlJc w:val="left"/>
      <w:pPr>
        <w:ind w:left="1069" w:hanging="360"/>
      </w:pPr>
      <w:rPr>
        <w:rFonts w:hint="default"/>
        <w:b w:val="0"/>
        <w:u w:val="none"/>
      </w:rPr>
    </w:lvl>
    <w:lvl w:ilvl="2">
      <w:start w:val="1"/>
      <w:numFmt w:val="decimal"/>
      <w:lvlText w:val="%1.%2.%3"/>
      <w:lvlJc w:val="left"/>
      <w:pPr>
        <w:ind w:left="2138" w:hanging="720"/>
      </w:pPr>
      <w:rPr>
        <w:rFonts w:hint="default"/>
        <w:u w:val="single"/>
      </w:rPr>
    </w:lvl>
    <w:lvl w:ilvl="3">
      <w:start w:val="1"/>
      <w:numFmt w:val="decimal"/>
      <w:lvlText w:val="%1.%2.%3.%4"/>
      <w:lvlJc w:val="left"/>
      <w:pPr>
        <w:ind w:left="2847" w:hanging="720"/>
      </w:pPr>
      <w:rPr>
        <w:rFonts w:hint="default"/>
        <w:u w:val="single"/>
      </w:rPr>
    </w:lvl>
    <w:lvl w:ilvl="4">
      <w:start w:val="1"/>
      <w:numFmt w:val="decimal"/>
      <w:lvlText w:val="%1.%2.%3.%4.%5"/>
      <w:lvlJc w:val="left"/>
      <w:pPr>
        <w:ind w:left="3916" w:hanging="1080"/>
      </w:pPr>
      <w:rPr>
        <w:rFonts w:hint="default"/>
        <w:u w:val="single"/>
      </w:rPr>
    </w:lvl>
    <w:lvl w:ilvl="5">
      <w:start w:val="1"/>
      <w:numFmt w:val="decimal"/>
      <w:lvlText w:val="%1.%2.%3.%4.%5.%6"/>
      <w:lvlJc w:val="left"/>
      <w:pPr>
        <w:ind w:left="4625" w:hanging="1080"/>
      </w:pPr>
      <w:rPr>
        <w:rFonts w:hint="default"/>
        <w:u w:val="single"/>
      </w:rPr>
    </w:lvl>
    <w:lvl w:ilvl="6">
      <w:start w:val="1"/>
      <w:numFmt w:val="decimal"/>
      <w:lvlText w:val="%1.%2.%3.%4.%5.%6.%7"/>
      <w:lvlJc w:val="left"/>
      <w:pPr>
        <w:ind w:left="5694" w:hanging="1440"/>
      </w:pPr>
      <w:rPr>
        <w:rFonts w:hint="default"/>
        <w:u w:val="single"/>
      </w:rPr>
    </w:lvl>
    <w:lvl w:ilvl="7">
      <w:start w:val="1"/>
      <w:numFmt w:val="decimal"/>
      <w:lvlText w:val="%1.%2.%3.%4.%5.%6.%7.%8"/>
      <w:lvlJc w:val="left"/>
      <w:pPr>
        <w:ind w:left="6403" w:hanging="1440"/>
      </w:pPr>
      <w:rPr>
        <w:rFonts w:hint="default"/>
        <w:u w:val="single"/>
      </w:rPr>
    </w:lvl>
    <w:lvl w:ilvl="8">
      <w:start w:val="1"/>
      <w:numFmt w:val="decimal"/>
      <w:lvlText w:val="%1.%2.%3.%4.%5.%6.%7.%8.%9"/>
      <w:lvlJc w:val="left"/>
      <w:pPr>
        <w:ind w:left="7472" w:hanging="1800"/>
      </w:pPr>
      <w:rPr>
        <w:rFonts w:hint="default"/>
        <w:u w:val="single"/>
      </w:rPr>
    </w:lvl>
  </w:abstractNum>
  <w:abstractNum w:abstractNumId="28" w15:restartNumberingAfterBreak="0">
    <w:nsid w:val="5C697850"/>
    <w:multiLevelType w:val="hybridMultilevel"/>
    <w:tmpl w:val="4530A17E"/>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5D3E5265"/>
    <w:multiLevelType w:val="hybridMultilevel"/>
    <w:tmpl w:val="5DBA3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9742EB"/>
    <w:multiLevelType w:val="hybridMultilevel"/>
    <w:tmpl w:val="DBF02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981FDD"/>
    <w:multiLevelType w:val="multilevel"/>
    <w:tmpl w:val="4C1A089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1315B73"/>
    <w:multiLevelType w:val="hybridMultilevel"/>
    <w:tmpl w:val="0D025A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D34B21"/>
    <w:multiLevelType w:val="hybridMultilevel"/>
    <w:tmpl w:val="03D452D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15:restartNumberingAfterBreak="0">
    <w:nsid w:val="798828EA"/>
    <w:multiLevelType w:val="hybridMultilevel"/>
    <w:tmpl w:val="93B40EC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7A1842BD"/>
    <w:multiLevelType w:val="hybridMultilevel"/>
    <w:tmpl w:val="345AA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F3767A"/>
    <w:multiLevelType w:val="multilevel"/>
    <w:tmpl w:val="F120DC8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310790643">
    <w:abstractNumId w:val="24"/>
  </w:num>
  <w:num w:numId="2" w16cid:durableId="581262462">
    <w:abstractNumId w:val="10"/>
  </w:num>
  <w:num w:numId="3" w16cid:durableId="170993359">
    <w:abstractNumId w:val="8"/>
  </w:num>
  <w:num w:numId="4" w16cid:durableId="170681991">
    <w:abstractNumId w:val="16"/>
  </w:num>
  <w:num w:numId="5" w16cid:durableId="520440851">
    <w:abstractNumId w:val="20"/>
  </w:num>
  <w:num w:numId="6" w16cid:durableId="762914983">
    <w:abstractNumId w:val="9"/>
  </w:num>
  <w:num w:numId="7" w16cid:durableId="1377124166">
    <w:abstractNumId w:val="31"/>
  </w:num>
  <w:num w:numId="8" w16cid:durableId="511069242">
    <w:abstractNumId w:val="32"/>
  </w:num>
  <w:num w:numId="9" w16cid:durableId="356273857">
    <w:abstractNumId w:val="3"/>
  </w:num>
  <w:num w:numId="10" w16cid:durableId="76708887">
    <w:abstractNumId w:val="22"/>
  </w:num>
  <w:num w:numId="11" w16cid:durableId="1621373225">
    <w:abstractNumId w:val="17"/>
  </w:num>
  <w:num w:numId="12" w16cid:durableId="9788492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6574211">
    <w:abstractNumId w:val="21"/>
  </w:num>
  <w:num w:numId="14" w16cid:durableId="1332836781">
    <w:abstractNumId w:val="5"/>
  </w:num>
  <w:num w:numId="15" w16cid:durableId="918290987">
    <w:abstractNumId w:val="6"/>
  </w:num>
  <w:num w:numId="16" w16cid:durableId="1574663656">
    <w:abstractNumId w:val="12"/>
  </w:num>
  <w:num w:numId="17" w16cid:durableId="152718983">
    <w:abstractNumId w:val="18"/>
  </w:num>
  <w:num w:numId="18" w16cid:durableId="1700935295">
    <w:abstractNumId w:val="36"/>
  </w:num>
  <w:num w:numId="19" w16cid:durableId="1829244209">
    <w:abstractNumId w:val="0"/>
  </w:num>
  <w:num w:numId="20" w16cid:durableId="1183740413">
    <w:abstractNumId w:val="11"/>
  </w:num>
  <w:num w:numId="21" w16cid:durableId="1078937840">
    <w:abstractNumId w:val="7"/>
  </w:num>
  <w:num w:numId="22" w16cid:durableId="1868635202">
    <w:abstractNumId w:val="29"/>
  </w:num>
  <w:num w:numId="23" w16cid:durableId="969169564">
    <w:abstractNumId w:val="28"/>
  </w:num>
  <w:num w:numId="24" w16cid:durableId="1398939777">
    <w:abstractNumId w:val="1"/>
  </w:num>
  <w:num w:numId="25" w16cid:durableId="546339714">
    <w:abstractNumId w:val="4"/>
  </w:num>
  <w:num w:numId="26" w16cid:durableId="2085488852">
    <w:abstractNumId w:val="19"/>
  </w:num>
  <w:num w:numId="27" w16cid:durableId="1880045125">
    <w:abstractNumId w:val="27"/>
  </w:num>
  <w:num w:numId="28" w16cid:durableId="690959526">
    <w:abstractNumId w:val="34"/>
  </w:num>
  <w:num w:numId="29" w16cid:durableId="1942567465">
    <w:abstractNumId w:val="25"/>
  </w:num>
  <w:num w:numId="30" w16cid:durableId="88894631">
    <w:abstractNumId w:val="35"/>
  </w:num>
  <w:num w:numId="31" w16cid:durableId="319046251">
    <w:abstractNumId w:val="26"/>
  </w:num>
  <w:num w:numId="32" w16cid:durableId="2000499405">
    <w:abstractNumId w:val="13"/>
  </w:num>
  <w:num w:numId="33" w16cid:durableId="326831434">
    <w:abstractNumId w:val="2"/>
  </w:num>
  <w:num w:numId="34" w16cid:durableId="639268319">
    <w:abstractNumId w:val="14"/>
  </w:num>
  <w:num w:numId="35" w16cid:durableId="1463572407">
    <w:abstractNumId w:val="30"/>
  </w:num>
  <w:num w:numId="36" w16cid:durableId="60444039">
    <w:abstractNumId w:val="23"/>
  </w:num>
  <w:num w:numId="37" w16cid:durableId="27535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97"/>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FA1"/>
    <w:rsid w:val="00002572"/>
    <w:rsid w:val="00024390"/>
    <w:rsid w:val="00032FC7"/>
    <w:rsid w:val="00055408"/>
    <w:rsid w:val="0006034B"/>
    <w:rsid w:val="000668F3"/>
    <w:rsid w:val="00077068"/>
    <w:rsid w:val="00082A24"/>
    <w:rsid w:val="00083536"/>
    <w:rsid w:val="00091E93"/>
    <w:rsid w:val="0009776C"/>
    <w:rsid w:val="000B3C4B"/>
    <w:rsid w:val="000D506A"/>
    <w:rsid w:val="000F1934"/>
    <w:rsid w:val="00102B6F"/>
    <w:rsid w:val="00105ED7"/>
    <w:rsid w:val="00112FCF"/>
    <w:rsid w:val="00126173"/>
    <w:rsid w:val="001410E2"/>
    <w:rsid w:val="00142F08"/>
    <w:rsid w:val="001462A1"/>
    <w:rsid w:val="00147E50"/>
    <w:rsid w:val="001511FE"/>
    <w:rsid w:val="0015491F"/>
    <w:rsid w:val="001572C7"/>
    <w:rsid w:val="00190AC9"/>
    <w:rsid w:val="001C4017"/>
    <w:rsid w:val="001C5D01"/>
    <w:rsid w:val="001C69B7"/>
    <w:rsid w:val="001D77DC"/>
    <w:rsid w:val="001E6DC5"/>
    <w:rsid w:val="001F3C86"/>
    <w:rsid w:val="00255147"/>
    <w:rsid w:val="00286011"/>
    <w:rsid w:val="002B720E"/>
    <w:rsid w:val="002E2FA1"/>
    <w:rsid w:val="002F3DCB"/>
    <w:rsid w:val="00314214"/>
    <w:rsid w:val="00315AA0"/>
    <w:rsid w:val="00315ABB"/>
    <w:rsid w:val="0031695E"/>
    <w:rsid w:val="00320B49"/>
    <w:rsid w:val="00336032"/>
    <w:rsid w:val="00345137"/>
    <w:rsid w:val="00352187"/>
    <w:rsid w:val="00355770"/>
    <w:rsid w:val="00376187"/>
    <w:rsid w:val="00384F41"/>
    <w:rsid w:val="00387A24"/>
    <w:rsid w:val="003C5124"/>
    <w:rsid w:val="004471F4"/>
    <w:rsid w:val="00465B2E"/>
    <w:rsid w:val="004775BB"/>
    <w:rsid w:val="004B1D79"/>
    <w:rsid w:val="004B5B66"/>
    <w:rsid w:val="004C0062"/>
    <w:rsid w:val="004F6AE0"/>
    <w:rsid w:val="00515673"/>
    <w:rsid w:val="00515D82"/>
    <w:rsid w:val="00544891"/>
    <w:rsid w:val="005832BD"/>
    <w:rsid w:val="00584426"/>
    <w:rsid w:val="005B23BE"/>
    <w:rsid w:val="005F3E3A"/>
    <w:rsid w:val="00607700"/>
    <w:rsid w:val="00627E0B"/>
    <w:rsid w:val="00663DBB"/>
    <w:rsid w:val="006810C1"/>
    <w:rsid w:val="00682CF2"/>
    <w:rsid w:val="006844DD"/>
    <w:rsid w:val="00693A64"/>
    <w:rsid w:val="00697CF5"/>
    <w:rsid w:val="006A13BE"/>
    <w:rsid w:val="006C328A"/>
    <w:rsid w:val="00703478"/>
    <w:rsid w:val="00703EBA"/>
    <w:rsid w:val="00704A7A"/>
    <w:rsid w:val="00723ED5"/>
    <w:rsid w:val="007247FA"/>
    <w:rsid w:val="00724D32"/>
    <w:rsid w:val="00752D45"/>
    <w:rsid w:val="0076061D"/>
    <w:rsid w:val="00791E34"/>
    <w:rsid w:val="007D42BD"/>
    <w:rsid w:val="007E474D"/>
    <w:rsid w:val="007F20EF"/>
    <w:rsid w:val="008056C2"/>
    <w:rsid w:val="0082722E"/>
    <w:rsid w:val="00846470"/>
    <w:rsid w:val="00854732"/>
    <w:rsid w:val="0086545F"/>
    <w:rsid w:val="008B5758"/>
    <w:rsid w:val="008D58E9"/>
    <w:rsid w:val="008E1491"/>
    <w:rsid w:val="008E4370"/>
    <w:rsid w:val="008E5881"/>
    <w:rsid w:val="009372CE"/>
    <w:rsid w:val="009423E6"/>
    <w:rsid w:val="009521A6"/>
    <w:rsid w:val="009521EE"/>
    <w:rsid w:val="009F1F66"/>
    <w:rsid w:val="00A163C5"/>
    <w:rsid w:val="00A1708D"/>
    <w:rsid w:val="00A312EA"/>
    <w:rsid w:val="00A72B8D"/>
    <w:rsid w:val="00A83021"/>
    <w:rsid w:val="00AC7E23"/>
    <w:rsid w:val="00AD691D"/>
    <w:rsid w:val="00AF5C4E"/>
    <w:rsid w:val="00B175D7"/>
    <w:rsid w:val="00B22A97"/>
    <w:rsid w:val="00B327D0"/>
    <w:rsid w:val="00B64C8A"/>
    <w:rsid w:val="00B67BB9"/>
    <w:rsid w:val="00B72E44"/>
    <w:rsid w:val="00B94E0C"/>
    <w:rsid w:val="00BA05EE"/>
    <w:rsid w:val="00BC6895"/>
    <w:rsid w:val="00BE48D0"/>
    <w:rsid w:val="00BF25C9"/>
    <w:rsid w:val="00BF49BB"/>
    <w:rsid w:val="00C06D3E"/>
    <w:rsid w:val="00C32CE0"/>
    <w:rsid w:val="00C44C69"/>
    <w:rsid w:val="00C55478"/>
    <w:rsid w:val="00C66A83"/>
    <w:rsid w:val="00C80C4E"/>
    <w:rsid w:val="00C92072"/>
    <w:rsid w:val="00CA02A0"/>
    <w:rsid w:val="00CE7355"/>
    <w:rsid w:val="00D01ED7"/>
    <w:rsid w:val="00D34C15"/>
    <w:rsid w:val="00D370E4"/>
    <w:rsid w:val="00D86DA5"/>
    <w:rsid w:val="00DD5968"/>
    <w:rsid w:val="00DE397A"/>
    <w:rsid w:val="00E01225"/>
    <w:rsid w:val="00E1089F"/>
    <w:rsid w:val="00E12A82"/>
    <w:rsid w:val="00E137DA"/>
    <w:rsid w:val="00E209C0"/>
    <w:rsid w:val="00E21993"/>
    <w:rsid w:val="00E42467"/>
    <w:rsid w:val="00E7598A"/>
    <w:rsid w:val="00E86431"/>
    <w:rsid w:val="00E90633"/>
    <w:rsid w:val="00EC4665"/>
    <w:rsid w:val="00F118C6"/>
    <w:rsid w:val="00F11C6C"/>
    <w:rsid w:val="00F32212"/>
    <w:rsid w:val="00F54EF6"/>
    <w:rsid w:val="00FA2739"/>
    <w:rsid w:val="00FA6C52"/>
    <w:rsid w:val="00FF2382"/>
    <w:rsid w:val="00FF7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6F4F1F"/>
  <w15:chartTrackingRefBased/>
  <w15:docId w15:val="{E6E7E4FD-F85D-4043-A252-6C9A2B9B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214"/>
    <w:pPr>
      <w:spacing w:after="200" w:line="276" w:lineRule="auto"/>
    </w:pPr>
    <w:rPr>
      <w:sz w:val="22"/>
      <w:szCs w:val="22"/>
      <w:lang w:eastAsia="en-US"/>
    </w:rPr>
  </w:style>
  <w:style w:type="paragraph" w:styleId="Heading1">
    <w:name w:val="heading 1"/>
    <w:basedOn w:val="Normal"/>
    <w:next w:val="Normal"/>
    <w:link w:val="Heading1Char"/>
    <w:qFormat/>
    <w:rsid w:val="00FA6C52"/>
    <w:pPr>
      <w:keepNext/>
      <w:spacing w:before="240" w:after="60" w:line="240" w:lineRule="auto"/>
      <w:outlineLvl w:val="0"/>
    </w:pPr>
    <w:rPr>
      <w:rFonts w:ascii="Arial" w:eastAsia="Times New Roman" w:hAnsi="Arial"/>
      <w:b/>
      <w:bCs/>
      <w:kern w:val="32"/>
      <w:sz w:val="32"/>
      <w:szCs w:val="32"/>
      <w:lang w:val="en-US" w:eastAsia="x-none"/>
    </w:rPr>
  </w:style>
  <w:style w:type="paragraph" w:styleId="Heading2">
    <w:name w:val="heading 2"/>
    <w:basedOn w:val="Normal"/>
    <w:next w:val="Normal"/>
    <w:link w:val="Heading2Char"/>
    <w:uiPriority w:val="9"/>
    <w:unhideWhenUsed/>
    <w:qFormat/>
    <w:rsid w:val="00190AC9"/>
    <w:pPr>
      <w:keepNext/>
      <w:keepLines/>
      <w:spacing w:before="40" w:after="0" w:line="240" w:lineRule="auto"/>
      <w:outlineLvl w:val="1"/>
    </w:pPr>
    <w:rPr>
      <w:rFonts w:ascii="Cambria" w:eastAsia="Times New Roman"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FA1"/>
    <w:pPr>
      <w:ind w:left="720"/>
      <w:contextualSpacing/>
    </w:pPr>
  </w:style>
  <w:style w:type="table" w:styleId="TableGrid">
    <w:name w:val="Table Grid"/>
    <w:basedOn w:val="TableNormal"/>
    <w:uiPriority w:val="59"/>
    <w:rsid w:val="002E2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A6C52"/>
    <w:rPr>
      <w:rFonts w:ascii="Arial" w:eastAsia="Times New Roman" w:hAnsi="Arial" w:cs="Arial"/>
      <w:b/>
      <w:bCs/>
      <w:kern w:val="32"/>
      <w:sz w:val="32"/>
      <w:szCs w:val="32"/>
      <w:lang w:val="en-US"/>
    </w:rPr>
  </w:style>
  <w:style w:type="character" w:styleId="CommentReference">
    <w:name w:val="annotation reference"/>
    <w:uiPriority w:val="99"/>
    <w:semiHidden/>
    <w:unhideWhenUsed/>
    <w:rsid w:val="00FA6C52"/>
    <w:rPr>
      <w:sz w:val="16"/>
      <w:szCs w:val="16"/>
    </w:rPr>
  </w:style>
  <w:style w:type="paragraph" w:styleId="CommentText">
    <w:name w:val="annotation text"/>
    <w:basedOn w:val="Normal"/>
    <w:link w:val="CommentTextChar"/>
    <w:uiPriority w:val="99"/>
    <w:semiHidden/>
    <w:unhideWhenUsed/>
    <w:rsid w:val="00FA6C52"/>
    <w:pPr>
      <w:spacing w:line="240" w:lineRule="auto"/>
    </w:pPr>
    <w:rPr>
      <w:sz w:val="20"/>
      <w:szCs w:val="20"/>
      <w:lang w:val="x-none" w:eastAsia="x-none"/>
    </w:rPr>
  </w:style>
  <w:style w:type="character" w:customStyle="1" w:styleId="CommentTextChar">
    <w:name w:val="Comment Text Char"/>
    <w:link w:val="CommentText"/>
    <w:uiPriority w:val="99"/>
    <w:semiHidden/>
    <w:rsid w:val="00FA6C52"/>
    <w:rPr>
      <w:sz w:val="20"/>
      <w:szCs w:val="20"/>
    </w:rPr>
  </w:style>
  <w:style w:type="paragraph" w:styleId="CommentSubject">
    <w:name w:val="annotation subject"/>
    <w:basedOn w:val="CommentText"/>
    <w:next w:val="CommentText"/>
    <w:link w:val="CommentSubjectChar"/>
    <w:uiPriority w:val="99"/>
    <w:semiHidden/>
    <w:unhideWhenUsed/>
    <w:rsid w:val="00FA6C52"/>
    <w:rPr>
      <w:b/>
      <w:bCs/>
    </w:rPr>
  </w:style>
  <w:style w:type="character" w:customStyle="1" w:styleId="CommentSubjectChar">
    <w:name w:val="Comment Subject Char"/>
    <w:link w:val="CommentSubject"/>
    <w:uiPriority w:val="99"/>
    <w:semiHidden/>
    <w:rsid w:val="00FA6C52"/>
    <w:rPr>
      <w:b/>
      <w:bCs/>
      <w:sz w:val="20"/>
      <w:szCs w:val="20"/>
    </w:rPr>
  </w:style>
  <w:style w:type="paragraph" w:styleId="BalloonText">
    <w:name w:val="Balloon Text"/>
    <w:basedOn w:val="Normal"/>
    <w:link w:val="BalloonTextChar"/>
    <w:uiPriority w:val="99"/>
    <w:semiHidden/>
    <w:unhideWhenUsed/>
    <w:rsid w:val="00FA6C5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A6C52"/>
    <w:rPr>
      <w:rFonts w:ascii="Tahoma" w:hAnsi="Tahoma" w:cs="Tahoma"/>
      <w:sz w:val="16"/>
      <w:szCs w:val="16"/>
    </w:rPr>
  </w:style>
  <w:style w:type="paragraph" w:styleId="Header">
    <w:name w:val="header"/>
    <w:basedOn w:val="Normal"/>
    <w:link w:val="HeaderChar"/>
    <w:uiPriority w:val="99"/>
    <w:unhideWhenUsed/>
    <w:rsid w:val="000668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8F3"/>
  </w:style>
  <w:style w:type="paragraph" w:styleId="Footer">
    <w:name w:val="footer"/>
    <w:basedOn w:val="Normal"/>
    <w:link w:val="FooterChar"/>
    <w:uiPriority w:val="99"/>
    <w:unhideWhenUsed/>
    <w:rsid w:val="000668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8F3"/>
  </w:style>
  <w:style w:type="paragraph" w:styleId="NoSpacing">
    <w:name w:val="No Spacing"/>
    <w:link w:val="NoSpacingChar"/>
    <w:uiPriority w:val="1"/>
    <w:qFormat/>
    <w:rsid w:val="00F54EF6"/>
    <w:rPr>
      <w:sz w:val="22"/>
      <w:szCs w:val="22"/>
      <w:lang w:eastAsia="en-US"/>
    </w:rPr>
  </w:style>
  <w:style w:type="paragraph" w:customStyle="1" w:styleId="Style1">
    <w:name w:val="Style1"/>
    <w:basedOn w:val="NoSpacing"/>
    <w:link w:val="Style1Char"/>
    <w:qFormat/>
    <w:rsid w:val="001572C7"/>
    <w:pPr>
      <w:numPr>
        <w:ilvl w:val="1"/>
        <w:numId w:val="19"/>
      </w:numPr>
    </w:pPr>
    <w:rPr>
      <w:rFonts w:ascii="Arial" w:hAnsi="Arial" w:cs="Arial"/>
    </w:rPr>
  </w:style>
  <w:style w:type="character" w:customStyle="1" w:styleId="NoSpacingChar">
    <w:name w:val="No Spacing Char"/>
    <w:link w:val="NoSpacing"/>
    <w:uiPriority w:val="1"/>
    <w:rsid w:val="001572C7"/>
    <w:rPr>
      <w:sz w:val="22"/>
      <w:szCs w:val="22"/>
      <w:lang w:val="en-GB" w:eastAsia="en-US" w:bidi="ar-SA"/>
    </w:rPr>
  </w:style>
  <w:style w:type="character" w:customStyle="1" w:styleId="Style1Char">
    <w:name w:val="Style1 Char"/>
    <w:link w:val="Style1"/>
    <w:rsid w:val="001572C7"/>
    <w:rPr>
      <w:rFonts w:ascii="Arial" w:hAnsi="Arial" w:cs="Arial"/>
      <w:sz w:val="22"/>
      <w:szCs w:val="22"/>
      <w:lang w:val="en-GB" w:eastAsia="en-US" w:bidi="ar-SA"/>
    </w:rPr>
  </w:style>
  <w:style w:type="character" w:styleId="Hyperlink">
    <w:name w:val="Hyperlink"/>
    <w:uiPriority w:val="99"/>
    <w:unhideWhenUsed/>
    <w:rsid w:val="00190AC9"/>
    <w:rPr>
      <w:color w:val="0000FF"/>
      <w:u w:val="single"/>
    </w:rPr>
  </w:style>
  <w:style w:type="paragraph" w:styleId="TOCHeading">
    <w:name w:val="TOC Heading"/>
    <w:basedOn w:val="Heading1"/>
    <w:next w:val="Normal"/>
    <w:uiPriority w:val="39"/>
    <w:unhideWhenUsed/>
    <w:qFormat/>
    <w:rsid w:val="00190AC9"/>
    <w:pPr>
      <w:keepLines/>
      <w:spacing w:after="0" w:line="259" w:lineRule="auto"/>
      <w:outlineLvl w:val="9"/>
    </w:pPr>
    <w:rPr>
      <w:rFonts w:ascii="Cambria" w:hAnsi="Cambria"/>
      <w:b w:val="0"/>
      <w:bCs w:val="0"/>
      <w:color w:val="365F91"/>
      <w:kern w:val="0"/>
      <w:lang w:eastAsia="en-US"/>
    </w:rPr>
  </w:style>
  <w:style w:type="character" w:customStyle="1" w:styleId="Heading2Char">
    <w:name w:val="Heading 2 Char"/>
    <w:link w:val="Heading2"/>
    <w:uiPriority w:val="9"/>
    <w:rsid w:val="00190AC9"/>
    <w:rPr>
      <w:rFonts w:ascii="Cambria" w:eastAsia="Times New Roman" w:hAnsi="Cambria"/>
      <w:color w:val="365F91"/>
      <w:sz w:val="26"/>
      <w:szCs w:val="26"/>
      <w:lang w:eastAsia="en-US"/>
    </w:rPr>
  </w:style>
  <w:style w:type="paragraph" w:styleId="BodyText">
    <w:name w:val="Body Text"/>
    <w:basedOn w:val="Normal"/>
    <w:link w:val="BodyTextChar"/>
    <w:semiHidden/>
    <w:rsid w:val="00190AC9"/>
    <w:pPr>
      <w:spacing w:after="0" w:line="240" w:lineRule="auto"/>
      <w:jc w:val="center"/>
    </w:pPr>
    <w:rPr>
      <w:rFonts w:ascii="Times New Roman" w:eastAsia="Times New Roman" w:hAnsi="Times New Roman"/>
      <w:b/>
      <w:bCs/>
      <w:sz w:val="48"/>
      <w:szCs w:val="24"/>
    </w:rPr>
  </w:style>
  <w:style w:type="character" w:customStyle="1" w:styleId="BodyTextChar">
    <w:name w:val="Body Text Char"/>
    <w:link w:val="BodyText"/>
    <w:semiHidden/>
    <w:rsid w:val="00190AC9"/>
    <w:rPr>
      <w:rFonts w:ascii="Times New Roman" w:eastAsia="Times New Roman" w:hAnsi="Times New Roman"/>
      <w:b/>
      <w:bCs/>
      <w:sz w:val="48"/>
      <w:szCs w:val="24"/>
      <w:lang w:eastAsia="en-US"/>
    </w:rPr>
  </w:style>
  <w:style w:type="paragraph" w:customStyle="1" w:styleId="Default">
    <w:name w:val="Default"/>
    <w:rsid w:val="00BC6895"/>
    <w:pPr>
      <w:autoSpaceDE w:val="0"/>
      <w:autoSpaceDN w:val="0"/>
      <w:adjustRightInd w:val="0"/>
    </w:pPr>
    <w:rPr>
      <w:rFonts w:ascii="Arial" w:hAnsi="Arial" w:cs="Arial"/>
      <w:color w:val="000000"/>
      <w:sz w:val="24"/>
      <w:szCs w:val="24"/>
      <w:lang w:eastAsia="en-US"/>
    </w:rPr>
  </w:style>
  <w:style w:type="paragraph" w:customStyle="1" w:styleId="yiv3099937384msonormal">
    <w:name w:val="yiv3099937384msonormal"/>
    <w:basedOn w:val="Normal"/>
    <w:rsid w:val="00B327D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3099937384msolistparagraph">
    <w:name w:val="yiv3099937384msolistparagraph"/>
    <w:basedOn w:val="Normal"/>
    <w:rsid w:val="00B327D0"/>
    <w:pPr>
      <w:spacing w:before="100" w:beforeAutospacing="1" w:after="100" w:afterAutospacing="1" w:line="240" w:lineRule="auto"/>
    </w:pPr>
    <w:rPr>
      <w:rFonts w:ascii="Times New Roman" w:eastAsia="Times New Roman" w:hAnsi="Times New Roman"/>
      <w:sz w:val="24"/>
      <w:szCs w:val="24"/>
      <w:lang w:eastAsia="en-GB"/>
    </w:rPr>
  </w:style>
  <w:style w:type="paragraph" w:styleId="TOC2">
    <w:name w:val="toc 2"/>
    <w:basedOn w:val="Normal"/>
    <w:next w:val="Normal"/>
    <w:autoRedefine/>
    <w:uiPriority w:val="39"/>
    <w:unhideWhenUsed/>
    <w:rsid w:val="009F1F6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wleicestershire.sharepoint.com/sites/housing/Shared%20Documents/Forms/AllItems.aspx?RootFolder=%2Fsites%2Fhousing%2FShared%20Documents%2FHRA%20Business%20Support%20Team%2FHousing%20Policies%20and%20Strategies&amp;FolderCTID=0x012000E2B25A50CD18FE4FB1A160FB0597851B"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84BCD0E392C349873E41E2B742C7F8" ma:contentTypeVersion="0" ma:contentTypeDescription="Create a new document." ma:contentTypeScope="" ma:versionID="98dca2d488edfeea0eb60488d3c3ee3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D64FF2-1740-456F-996C-1EB8E34283FA}">
  <ds:schemaRefs>
    <ds:schemaRef ds:uri="http://schemas.microsoft.com/sharepoint/v3/contenttype/forms"/>
  </ds:schemaRefs>
</ds:datastoreItem>
</file>

<file path=customXml/itemProps2.xml><?xml version="1.0" encoding="utf-8"?>
<ds:datastoreItem xmlns:ds="http://schemas.openxmlformats.org/officeDocument/2006/customXml" ds:itemID="{054D33D1-254A-4F45-B87D-15BC57F59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2CC903D-F4AD-4BD3-A09F-0ED05E40C606}">
  <ds:schemaRefs>
    <ds:schemaRef ds:uri="http://schemas.openxmlformats.org/officeDocument/2006/bibliography"/>
  </ds:schemaRefs>
</ds:datastoreItem>
</file>

<file path=customXml/itemProps4.xml><?xml version="1.0" encoding="utf-8"?>
<ds:datastoreItem xmlns:ds="http://schemas.openxmlformats.org/officeDocument/2006/customXml" ds:itemID="{A9142C8B-933D-4BAD-A9D1-8D777AF07D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2320</Words>
  <Characters>13226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nwldc</Company>
  <LinksUpToDate>false</LinksUpToDate>
  <CharactersWithSpaces>15515</CharactersWithSpaces>
  <SharedDoc>false</SharedDoc>
  <HLinks>
    <vt:vector size="6" baseType="variant">
      <vt:variant>
        <vt:i4>6488124</vt:i4>
      </vt:variant>
      <vt:variant>
        <vt:i4>0</vt:i4>
      </vt:variant>
      <vt:variant>
        <vt:i4>0</vt:i4>
      </vt:variant>
      <vt:variant>
        <vt:i4>5</vt:i4>
      </vt:variant>
      <vt:variant>
        <vt:lpwstr>https://nwleicestershire.sharepoint.com/sites/housing/Shared Documents/Forms/AllItems.aspx?RootFolder=%2Fsites%2Fhousing%2FShared%20Documents%2FHRA%20Business%20Support%20Team%2FHousing%20Policies%20and%20Strategies&amp;FolderCTID=0x012000E2B25A50CD18FE4FB1A160FB0597851B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aharper</dc:creator>
  <cp:keywords/>
  <cp:lastModifiedBy>DAVID SCRUTON</cp:lastModifiedBy>
  <cp:revision>2</cp:revision>
  <cp:lastPrinted>2020-03-18T14:01:00Z</cp:lastPrinted>
  <dcterms:created xsi:type="dcterms:W3CDTF">2024-03-18T11:51:00Z</dcterms:created>
  <dcterms:modified xsi:type="dcterms:W3CDTF">2024-03-18T11:51:00Z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0x0101002984BCD0E392C349873E41E2B742C7F8</vt:lpwstr>
  </property>
</Properties>
</file>