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BE44A" w14:textId="77777777" w:rsidR="009939E2" w:rsidRPr="009939E2" w:rsidRDefault="009939E2" w:rsidP="009939E2">
      <w:pPr>
        <w:rPr>
          <w:rFonts w:cs="Arial"/>
          <w:sz w:val="24"/>
          <w:szCs w:val="24"/>
        </w:rPr>
      </w:pPr>
      <w:r w:rsidRPr="009939E2">
        <w:rPr>
          <w:rFonts w:cs="Arial"/>
          <w:noProof/>
          <w:lang w:eastAsia="en-GB"/>
        </w:rPr>
        <w:drawing>
          <wp:inline distT="0" distB="0" distL="0" distR="0" wp14:anchorId="161703BF" wp14:editId="0BF76213">
            <wp:extent cx="1442434" cy="865505"/>
            <wp:effectExtent l="0" t="0" r="5715" b="0"/>
            <wp:docPr id="1" name="Picture 1" descr="cid:image003.jpg@01D3CCCB.88736E50"/>
            <wp:cNvGraphicFramePr/>
            <a:graphic xmlns:a="http://schemas.openxmlformats.org/drawingml/2006/main">
              <a:graphicData uri="http://schemas.openxmlformats.org/drawingml/2006/picture">
                <pic:pic xmlns:pic="http://schemas.openxmlformats.org/drawingml/2006/picture">
                  <pic:nvPicPr>
                    <pic:cNvPr id="1" name="Picture 1" descr="cid:image003.jpg@01D3CCCB.88736E5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2434" cy="865505"/>
                    </a:xfrm>
                    <a:prstGeom prst="rect">
                      <a:avLst/>
                    </a:prstGeom>
                    <a:noFill/>
                    <a:ln>
                      <a:noFill/>
                    </a:ln>
                  </pic:spPr>
                </pic:pic>
              </a:graphicData>
            </a:graphic>
          </wp:inline>
        </w:drawing>
      </w:r>
      <w:r w:rsidRPr="009939E2">
        <w:rPr>
          <w:rFonts w:cs="Arial"/>
          <w:sz w:val="24"/>
          <w:szCs w:val="24"/>
        </w:rPr>
        <w:tab/>
      </w:r>
      <w:r w:rsidRPr="009939E2">
        <w:rPr>
          <w:rFonts w:cs="Arial"/>
          <w:sz w:val="24"/>
          <w:szCs w:val="24"/>
        </w:rPr>
        <w:tab/>
      </w:r>
      <w:r w:rsidRPr="009939E2">
        <w:rPr>
          <w:rFonts w:cs="Arial"/>
          <w:sz w:val="24"/>
          <w:szCs w:val="24"/>
        </w:rPr>
        <w:tab/>
      </w:r>
      <w:r w:rsidRPr="009939E2">
        <w:rPr>
          <w:rFonts w:cs="Arial"/>
          <w:sz w:val="24"/>
          <w:szCs w:val="24"/>
        </w:rPr>
        <w:tab/>
      </w:r>
      <w:r w:rsidRPr="009939E2">
        <w:rPr>
          <w:rFonts w:cs="Arial"/>
          <w:sz w:val="24"/>
          <w:szCs w:val="24"/>
        </w:rPr>
        <w:tab/>
      </w:r>
      <w:r w:rsidRPr="009939E2">
        <w:rPr>
          <w:rFonts w:cs="Arial"/>
          <w:sz w:val="24"/>
          <w:szCs w:val="24"/>
        </w:rPr>
        <w:tab/>
      </w:r>
      <w:r w:rsidRPr="009939E2">
        <w:rPr>
          <w:rFonts w:cs="Arial"/>
          <w:sz w:val="24"/>
          <w:szCs w:val="24"/>
        </w:rPr>
        <w:tab/>
      </w:r>
    </w:p>
    <w:p w14:paraId="7281C59E" w14:textId="77777777" w:rsidR="009939E2" w:rsidRPr="009939E2" w:rsidRDefault="009939E2" w:rsidP="009939E2">
      <w:pPr>
        <w:rPr>
          <w:rFonts w:cs="Arial"/>
          <w:sz w:val="24"/>
          <w:szCs w:val="24"/>
        </w:rPr>
      </w:pPr>
    </w:p>
    <w:tbl>
      <w:tblPr>
        <w:tblpPr w:leftFromText="180" w:rightFromText="180" w:horzAnchor="margin" w:tblpY="1440"/>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28"/>
      </w:tblGrid>
      <w:tr w:rsidR="009939E2" w:rsidRPr="009939E2" w14:paraId="1A488DF8" w14:textId="77777777" w:rsidTr="00945579">
        <w:tc>
          <w:tcPr>
            <w:tcW w:w="8928" w:type="dxa"/>
            <w:shd w:val="clear" w:color="auto" w:fill="CCFFCC"/>
          </w:tcPr>
          <w:p w14:paraId="77873D53" w14:textId="77777777" w:rsidR="009939E2" w:rsidRPr="009939E2" w:rsidRDefault="009939E2" w:rsidP="00945579">
            <w:pPr>
              <w:jc w:val="center"/>
              <w:rPr>
                <w:rFonts w:cs="Arial"/>
                <w:b/>
                <w:sz w:val="24"/>
                <w:szCs w:val="24"/>
              </w:rPr>
            </w:pPr>
            <w:r w:rsidRPr="009939E2">
              <w:rPr>
                <w:rFonts w:cs="Arial"/>
                <w:b/>
                <w:sz w:val="24"/>
                <w:szCs w:val="24"/>
              </w:rPr>
              <w:t>HOUSING SERVICES POLICY</w:t>
            </w:r>
          </w:p>
        </w:tc>
      </w:tr>
      <w:tr w:rsidR="009939E2" w:rsidRPr="009939E2" w14:paraId="716EC01E" w14:textId="77777777" w:rsidTr="00945579">
        <w:tc>
          <w:tcPr>
            <w:tcW w:w="8928" w:type="dxa"/>
          </w:tcPr>
          <w:p w14:paraId="6C7B1D76" w14:textId="77777777" w:rsidR="009939E2" w:rsidRPr="009939E2" w:rsidRDefault="009939E2" w:rsidP="00945579">
            <w:pPr>
              <w:rPr>
                <w:rFonts w:cs="Arial"/>
                <w:sz w:val="24"/>
                <w:szCs w:val="24"/>
              </w:rPr>
            </w:pPr>
          </w:p>
          <w:p w14:paraId="4A2624D0" w14:textId="4154F009" w:rsidR="009939E2" w:rsidRPr="009939E2" w:rsidRDefault="009939E2" w:rsidP="00945579">
            <w:pPr>
              <w:rPr>
                <w:rFonts w:cs="Arial"/>
                <w:sz w:val="24"/>
                <w:szCs w:val="24"/>
              </w:rPr>
            </w:pPr>
            <w:r w:rsidRPr="009939E2">
              <w:rPr>
                <w:rFonts w:cs="Arial"/>
                <w:b/>
                <w:sz w:val="24"/>
                <w:szCs w:val="24"/>
              </w:rPr>
              <w:t>Area</w:t>
            </w:r>
            <w:r w:rsidRPr="009939E2">
              <w:rPr>
                <w:rFonts w:cs="Arial"/>
                <w:sz w:val="24"/>
                <w:szCs w:val="24"/>
              </w:rPr>
              <w:t xml:space="preserve">               </w:t>
            </w:r>
            <w:proofErr w:type="gramStart"/>
            <w:r w:rsidRPr="009939E2">
              <w:rPr>
                <w:rFonts w:cs="Arial"/>
                <w:sz w:val="24"/>
                <w:szCs w:val="24"/>
              </w:rPr>
              <w:t xml:space="preserve">  :</w:t>
            </w:r>
            <w:proofErr w:type="gramEnd"/>
            <w:r w:rsidRPr="009939E2">
              <w:rPr>
                <w:rFonts w:cs="Arial"/>
                <w:sz w:val="24"/>
                <w:szCs w:val="24"/>
              </w:rPr>
              <w:t xml:space="preserve"> Housing </w:t>
            </w:r>
          </w:p>
          <w:p w14:paraId="345F1D99" w14:textId="77777777" w:rsidR="009939E2" w:rsidRPr="009939E2" w:rsidRDefault="009939E2" w:rsidP="00945579">
            <w:pPr>
              <w:rPr>
                <w:rFonts w:cs="Arial"/>
                <w:sz w:val="24"/>
                <w:szCs w:val="24"/>
              </w:rPr>
            </w:pPr>
          </w:p>
          <w:p w14:paraId="3FFF4ED9" w14:textId="5242FC7F" w:rsidR="009939E2" w:rsidRPr="009939E2" w:rsidRDefault="009939E2" w:rsidP="00945579">
            <w:pPr>
              <w:rPr>
                <w:rFonts w:cs="Arial"/>
                <w:sz w:val="24"/>
                <w:szCs w:val="24"/>
              </w:rPr>
            </w:pPr>
            <w:r w:rsidRPr="009939E2">
              <w:rPr>
                <w:rFonts w:cs="Arial"/>
                <w:b/>
                <w:sz w:val="24"/>
                <w:szCs w:val="24"/>
              </w:rPr>
              <w:t xml:space="preserve">Department </w:t>
            </w:r>
            <w:r w:rsidRPr="009939E2">
              <w:rPr>
                <w:rFonts w:cs="Arial"/>
                <w:sz w:val="24"/>
                <w:szCs w:val="24"/>
              </w:rPr>
              <w:t xml:space="preserve">  </w:t>
            </w:r>
            <w:proofErr w:type="gramStart"/>
            <w:r w:rsidRPr="009939E2">
              <w:rPr>
                <w:rFonts w:cs="Arial"/>
                <w:sz w:val="24"/>
                <w:szCs w:val="24"/>
              </w:rPr>
              <w:t xml:space="preserve">  :</w:t>
            </w:r>
            <w:proofErr w:type="gramEnd"/>
            <w:r w:rsidRPr="009939E2">
              <w:rPr>
                <w:rFonts w:cs="Arial"/>
                <w:sz w:val="24"/>
                <w:szCs w:val="24"/>
              </w:rPr>
              <w:t xml:space="preserve"> Housing Management </w:t>
            </w:r>
          </w:p>
          <w:p w14:paraId="4080B39F" w14:textId="77777777" w:rsidR="009939E2" w:rsidRPr="009939E2" w:rsidRDefault="009939E2" w:rsidP="00945579">
            <w:pPr>
              <w:rPr>
                <w:rFonts w:cs="Arial"/>
                <w:sz w:val="24"/>
                <w:szCs w:val="24"/>
              </w:rPr>
            </w:pPr>
          </w:p>
          <w:p w14:paraId="2477BDF8" w14:textId="2F059618" w:rsidR="009939E2" w:rsidRPr="009939E2" w:rsidRDefault="009939E2" w:rsidP="00945579">
            <w:pPr>
              <w:rPr>
                <w:rFonts w:cs="Arial"/>
                <w:sz w:val="24"/>
                <w:szCs w:val="24"/>
              </w:rPr>
            </w:pPr>
            <w:r w:rsidRPr="009939E2">
              <w:rPr>
                <w:rFonts w:cs="Arial"/>
                <w:b/>
                <w:sz w:val="24"/>
                <w:szCs w:val="24"/>
              </w:rPr>
              <w:t xml:space="preserve">Subject </w:t>
            </w:r>
            <w:r w:rsidRPr="009939E2">
              <w:rPr>
                <w:rFonts w:cs="Arial"/>
                <w:sz w:val="24"/>
                <w:szCs w:val="24"/>
              </w:rPr>
              <w:t xml:space="preserve">         </w:t>
            </w:r>
            <w:proofErr w:type="gramStart"/>
            <w:r w:rsidRPr="009939E2">
              <w:rPr>
                <w:rFonts w:cs="Arial"/>
                <w:sz w:val="24"/>
                <w:szCs w:val="24"/>
              </w:rPr>
              <w:t xml:space="preserve">  :</w:t>
            </w:r>
            <w:proofErr w:type="gramEnd"/>
            <w:r w:rsidRPr="009939E2">
              <w:rPr>
                <w:rFonts w:cs="Arial"/>
                <w:sz w:val="24"/>
                <w:szCs w:val="24"/>
              </w:rPr>
              <w:t xml:space="preserve"> Decant Policy </w:t>
            </w:r>
          </w:p>
          <w:p w14:paraId="20BF9974" w14:textId="77777777" w:rsidR="009939E2" w:rsidRPr="009939E2" w:rsidRDefault="009939E2" w:rsidP="00945579">
            <w:pPr>
              <w:rPr>
                <w:rFonts w:cs="Arial"/>
                <w:sz w:val="24"/>
                <w:szCs w:val="24"/>
              </w:rPr>
            </w:pPr>
          </w:p>
        </w:tc>
      </w:tr>
    </w:tbl>
    <w:tbl>
      <w:tblPr>
        <w:tblStyle w:val="TableGrid"/>
        <w:tblW w:w="9022" w:type="dxa"/>
        <w:tblInd w:w="-5" w:type="dxa"/>
        <w:tblLook w:val="04A0" w:firstRow="1" w:lastRow="0" w:firstColumn="1" w:lastColumn="0" w:noHBand="0" w:noVBand="1"/>
      </w:tblPr>
      <w:tblGrid>
        <w:gridCol w:w="1985"/>
        <w:gridCol w:w="1894"/>
        <w:gridCol w:w="1894"/>
        <w:gridCol w:w="3249"/>
      </w:tblGrid>
      <w:tr w:rsidR="009939E2" w:rsidRPr="009939E2" w14:paraId="697143A1" w14:textId="77777777" w:rsidTr="00945579">
        <w:tc>
          <w:tcPr>
            <w:tcW w:w="1985" w:type="dxa"/>
          </w:tcPr>
          <w:p w14:paraId="40CD3BF4" w14:textId="77777777" w:rsidR="009939E2" w:rsidRPr="009939E2" w:rsidRDefault="009939E2" w:rsidP="00945579">
            <w:pPr>
              <w:rPr>
                <w:rFonts w:cs="Arial"/>
                <w:b/>
                <w:sz w:val="24"/>
                <w:szCs w:val="24"/>
              </w:rPr>
            </w:pPr>
            <w:r w:rsidRPr="009939E2">
              <w:rPr>
                <w:rFonts w:cs="Arial"/>
                <w:b/>
                <w:sz w:val="24"/>
                <w:szCs w:val="24"/>
              </w:rPr>
              <w:t>Procedure Ref:</w:t>
            </w:r>
          </w:p>
        </w:tc>
        <w:tc>
          <w:tcPr>
            <w:tcW w:w="1894" w:type="dxa"/>
          </w:tcPr>
          <w:p w14:paraId="1C81DFA0" w14:textId="77777777" w:rsidR="009939E2" w:rsidRPr="009939E2" w:rsidRDefault="009939E2" w:rsidP="00945579">
            <w:pPr>
              <w:rPr>
                <w:rFonts w:cs="Arial"/>
                <w:b/>
                <w:sz w:val="24"/>
                <w:szCs w:val="24"/>
              </w:rPr>
            </w:pPr>
          </w:p>
        </w:tc>
        <w:tc>
          <w:tcPr>
            <w:tcW w:w="1894" w:type="dxa"/>
          </w:tcPr>
          <w:p w14:paraId="3D6CCAC0" w14:textId="77777777" w:rsidR="009939E2" w:rsidRPr="009939E2" w:rsidRDefault="009939E2" w:rsidP="00945579">
            <w:pPr>
              <w:rPr>
                <w:rFonts w:cs="Arial"/>
                <w:b/>
                <w:sz w:val="24"/>
                <w:szCs w:val="24"/>
              </w:rPr>
            </w:pPr>
            <w:r w:rsidRPr="009939E2">
              <w:rPr>
                <w:rFonts w:cs="Arial"/>
                <w:b/>
                <w:sz w:val="24"/>
                <w:szCs w:val="24"/>
              </w:rPr>
              <w:t>Owner</w:t>
            </w:r>
            <w:r w:rsidRPr="009939E2">
              <w:rPr>
                <w:rFonts w:cs="Arial"/>
                <w:sz w:val="24"/>
                <w:szCs w:val="24"/>
              </w:rPr>
              <w:t>:</w:t>
            </w:r>
          </w:p>
        </w:tc>
        <w:tc>
          <w:tcPr>
            <w:tcW w:w="3249" w:type="dxa"/>
          </w:tcPr>
          <w:p w14:paraId="11AB087C" w14:textId="77777777" w:rsidR="009939E2" w:rsidRPr="009939E2" w:rsidRDefault="009939E2" w:rsidP="00945579">
            <w:pPr>
              <w:rPr>
                <w:rFonts w:cs="Arial"/>
                <w:b/>
                <w:sz w:val="24"/>
                <w:szCs w:val="24"/>
              </w:rPr>
            </w:pPr>
            <w:r w:rsidRPr="009939E2">
              <w:rPr>
                <w:rFonts w:cs="Arial"/>
                <w:b/>
                <w:sz w:val="24"/>
                <w:szCs w:val="24"/>
              </w:rPr>
              <w:t xml:space="preserve">Housing Management Team Manager  </w:t>
            </w:r>
          </w:p>
        </w:tc>
      </w:tr>
      <w:tr w:rsidR="009939E2" w:rsidRPr="009939E2" w14:paraId="39B8EE34" w14:textId="77777777" w:rsidTr="00945579">
        <w:tc>
          <w:tcPr>
            <w:tcW w:w="1985" w:type="dxa"/>
          </w:tcPr>
          <w:p w14:paraId="393C5560" w14:textId="77777777" w:rsidR="009939E2" w:rsidRPr="009939E2" w:rsidRDefault="009939E2" w:rsidP="00945579">
            <w:pPr>
              <w:rPr>
                <w:rFonts w:cs="Arial"/>
                <w:b/>
                <w:sz w:val="24"/>
                <w:szCs w:val="24"/>
              </w:rPr>
            </w:pPr>
            <w:r w:rsidRPr="009939E2">
              <w:rPr>
                <w:rFonts w:cs="Arial"/>
                <w:b/>
                <w:sz w:val="24"/>
                <w:szCs w:val="24"/>
              </w:rPr>
              <w:t>Date approved:</w:t>
            </w:r>
          </w:p>
        </w:tc>
        <w:tc>
          <w:tcPr>
            <w:tcW w:w="1894" w:type="dxa"/>
          </w:tcPr>
          <w:p w14:paraId="5AA40E34" w14:textId="77777777" w:rsidR="009939E2" w:rsidRPr="009939E2" w:rsidRDefault="009939E2" w:rsidP="00945579">
            <w:pPr>
              <w:rPr>
                <w:rFonts w:cs="Arial"/>
                <w:b/>
                <w:sz w:val="24"/>
                <w:szCs w:val="24"/>
              </w:rPr>
            </w:pPr>
          </w:p>
        </w:tc>
        <w:tc>
          <w:tcPr>
            <w:tcW w:w="1894" w:type="dxa"/>
          </w:tcPr>
          <w:p w14:paraId="62C1C1EC" w14:textId="77777777" w:rsidR="009939E2" w:rsidRPr="009939E2" w:rsidRDefault="009939E2" w:rsidP="00945579">
            <w:pPr>
              <w:rPr>
                <w:rFonts w:cs="Arial"/>
                <w:b/>
                <w:sz w:val="24"/>
                <w:szCs w:val="24"/>
              </w:rPr>
            </w:pPr>
            <w:r w:rsidRPr="009939E2">
              <w:rPr>
                <w:rFonts w:cs="Arial"/>
                <w:b/>
                <w:sz w:val="24"/>
                <w:szCs w:val="24"/>
              </w:rPr>
              <w:t>Effective date:</w:t>
            </w:r>
          </w:p>
        </w:tc>
        <w:tc>
          <w:tcPr>
            <w:tcW w:w="3249" w:type="dxa"/>
          </w:tcPr>
          <w:p w14:paraId="3E395D31" w14:textId="55E034A8" w:rsidR="009939E2" w:rsidRPr="009939E2" w:rsidRDefault="009939E2" w:rsidP="00945579">
            <w:pPr>
              <w:rPr>
                <w:rFonts w:cs="Arial"/>
                <w:b/>
                <w:sz w:val="24"/>
                <w:szCs w:val="24"/>
              </w:rPr>
            </w:pPr>
            <w:r w:rsidRPr="009939E2">
              <w:rPr>
                <w:rFonts w:cs="Arial"/>
                <w:b/>
                <w:sz w:val="24"/>
                <w:szCs w:val="24"/>
              </w:rPr>
              <w:t>April 202</w:t>
            </w:r>
            <w:r w:rsidR="004B1D28">
              <w:rPr>
                <w:rFonts w:cs="Arial"/>
                <w:b/>
                <w:sz w:val="24"/>
                <w:szCs w:val="24"/>
              </w:rPr>
              <w:t>4</w:t>
            </w:r>
          </w:p>
        </w:tc>
      </w:tr>
    </w:tbl>
    <w:p w14:paraId="6BCFC1C9" w14:textId="678099D1" w:rsidR="009939E2" w:rsidRPr="009939E2" w:rsidRDefault="009939E2" w:rsidP="009939E2">
      <w:pPr>
        <w:rPr>
          <w:rFonts w:cs="Arial"/>
          <w:b/>
          <w:sz w:val="24"/>
          <w:szCs w:val="24"/>
        </w:rPr>
      </w:pPr>
      <w:r w:rsidRPr="009939E2">
        <w:rPr>
          <w:rFonts w:cs="Arial"/>
          <w:b/>
          <w:sz w:val="24"/>
          <w:szCs w:val="24"/>
        </w:rPr>
        <w:tab/>
      </w:r>
    </w:p>
    <w:p w14:paraId="1C4A3F26" w14:textId="77777777" w:rsidR="009939E2" w:rsidRPr="009939E2" w:rsidRDefault="009939E2" w:rsidP="009939E2">
      <w:pPr>
        <w:rPr>
          <w:rFonts w:cs="Arial"/>
          <w:sz w:val="24"/>
          <w:szCs w:val="24"/>
        </w:rPr>
      </w:pPr>
      <w:r w:rsidRPr="009939E2">
        <w:rPr>
          <w:rFonts w:cs="Arial"/>
          <w:sz w:val="24"/>
          <w:szCs w:val="24"/>
        </w:rPr>
        <w:t>Please state what policies and strategies (if any) this policy is linked to (a list of policies and procedures can be found at</w:t>
      </w:r>
      <w:r w:rsidRPr="009939E2">
        <w:rPr>
          <w:rFonts w:cs="Arial"/>
        </w:rPr>
        <w:t xml:space="preserve"> </w:t>
      </w:r>
      <w:hyperlink r:id="rId12" w:history="1">
        <w:r w:rsidRPr="009939E2">
          <w:rPr>
            <w:rStyle w:val="Hyperlink"/>
            <w:rFonts w:cs="Arial"/>
          </w:rPr>
          <w:t>policies and strategies</w:t>
        </w:r>
      </w:hyperlink>
    </w:p>
    <w:p w14:paraId="6765437C" w14:textId="77777777" w:rsidR="009939E2" w:rsidRPr="009939E2" w:rsidRDefault="009939E2" w:rsidP="009939E2">
      <w:pPr>
        <w:rPr>
          <w:rFonts w:cs="Arial"/>
          <w:sz w:val="24"/>
          <w:szCs w:val="24"/>
        </w:rPr>
      </w:pPr>
    </w:p>
    <w:p w14:paraId="32DACC1B" w14:textId="77777777" w:rsidR="009939E2" w:rsidRPr="009939E2" w:rsidRDefault="009939E2" w:rsidP="009939E2">
      <w:pPr>
        <w:rPr>
          <w:rFonts w:cs="Arial"/>
          <w:b/>
          <w:sz w:val="24"/>
          <w:szCs w:val="24"/>
        </w:rPr>
      </w:pPr>
      <w:r w:rsidRPr="009939E2">
        <w:rPr>
          <w:rFonts w:cs="Arial"/>
          <w:b/>
          <w:sz w:val="24"/>
          <w:szCs w:val="24"/>
        </w:rPr>
        <w:t>Linked to</w:t>
      </w:r>
    </w:p>
    <w:p w14:paraId="0ED4FC68" w14:textId="77777777" w:rsidR="009939E2" w:rsidRPr="009939E2" w:rsidRDefault="009939E2" w:rsidP="009939E2">
      <w:pPr>
        <w:rPr>
          <w:rFonts w:cs="Arial"/>
          <w:b/>
          <w:sz w:val="24"/>
          <w:szCs w:val="24"/>
        </w:rPr>
      </w:pPr>
    </w:p>
    <w:p w14:paraId="1BE3D808" w14:textId="77777777" w:rsidR="009939E2" w:rsidRPr="009939E2" w:rsidRDefault="009939E2" w:rsidP="009939E2">
      <w:pPr>
        <w:pStyle w:val="ListParagraph"/>
        <w:numPr>
          <w:ilvl w:val="0"/>
          <w:numId w:val="1"/>
        </w:numPr>
        <w:rPr>
          <w:rFonts w:cs="Arial"/>
          <w:sz w:val="24"/>
          <w:szCs w:val="24"/>
        </w:rPr>
      </w:pPr>
      <w:r w:rsidRPr="009939E2">
        <w:rPr>
          <w:rFonts w:cs="Arial"/>
          <w:sz w:val="24"/>
          <w:szCs w:val="24"/>
        </w:rPr>
        <w:t xml:space="preserve">Allocations Policy </w:t>
      </w:r>
    </w:p>
    <w:p w14:paraId="0EE371DE" w14:textId="77777777" w:rsidR="009939E2" w:rsidRPr="009939E2" w:rsidRDefault="009939E2" w:rsidP="009939E2">
      <w:pPr>
        <w:pStyle w:val="ListParagraph"/>
        <w:numPr>
          <w:ilvl w:val="0"/>
          <w:numId w:val="1"/>
        </w:numPr>
        <w:rPr>
          <w:rFonts w:cs="Arial"/>
          <w:sz w:val="24"/>
          <w:szCs w:val="24"/>
        </w:rPr>
      </w:pPr>
      <w:r w:rsidRPr="009939E2">
        <w:rPr>
          <w:rFonts w:cs="Arial"/>
          <w:sz w:val="24"/>
          <w:szCs w:val="24"/>
        </w:rPr>
        <w:t>Asset Management Strategy</w:t>
      </w:r>
    </w:p>
    <w:p w14:paraId="469405A6" w14:textId="77777777" w:rsidR="009939E2" w:rsidRPr="009939E2" w:rsidRDefault="009939E2" w:rsidP="009939E2">
      <w:pPr>
        <w:pStyle w:val="ListParagraph"/>
        <w:numPr>
          <w:ilvl w:val="0"/>
          <w:numId w:val="1"/>
        </w:numPr>
        <w:rPr>
          <w:rFonts w:cs="Arial"/>
          <w:sz w:val="24"/>
          <w:szCs w:val="24"/>
        </w:rPr>
      </w:pPr>
      <w:r w:rsidRPr="009939E2">
        <w:rPr>
          <w:rFonts w:cs="Arial"/>
          <w:sz w:val="24"/>
          <w:szCs w:val="24"/>
        </w:rPr>
        <w:t>Repairs Policy</w:t>
      </w:r>
    </w:p>
    <w:p w14:paraId="37A98D64" w14:textId="77777777" w:rsidR="009939E2" w:rsidRPr="009939E2" w:rsidRDefault="009939E2" w:rsidP="009939E2">
      <w:pPr>
        <w:rPr>
          <w:rFonts w:cs="Arial"/>
          <w:b/>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97"/>
        <w:gridCol w:w="1186"/>
        <w:gridCol w:w="2408"/>
        <w:gridCol w:w="1381"/>
        <w:gridCol w:w="1577"/>
        <w:gridCol w:w="1357"/>
      </w:tblGrid>
      <w:tr w:rsidR="009939E2" w:rsidRPr="009939E2" w14:paraId="697F196C" w14:textId="77777777" w:rsidTr="009939E2">
        <w:tc>
          <w:tcPr>
            <w:tcW w:w="1097" w:type="dxa"/>
            <w:shd w:val="clear" w:color="auto" w:fill="CCFFCC"/>
          </w:tcPr>
          <w:p w14:paraId="7EA2183B" w14:textId="77777777" w:rsidR="009939E2" w:rsidRPr="009939E2" w:rsidRDefault="009939E2" w:rsidP="00945579">
            <w:pPr>
              <w:jc w:val="center"/>
              <w:rPr>
                <w:rFonts w:cs="Arial"/>
                <w:b/>
                <w:sz w:val="24"/>
                <w:szCs w:val="24"/>
              </w:rPr>
            </w:pPr>
            <w:r w:rsidRPr="009939E2">
              <w:rPr>
                <w:rFonts w:cs="Arial"/>
                <w:b/>
                <w:sz w:val="24"/>
                <w:szCs w:val="24"/>
              </w:rPr>
              <w:t>Version</w:t>
            </w:r>
          </w:p>
        </w:tc>
        <w:tc>
          <w:tcPr>
            <w:tcW w:w="1186" w:type="dxa"/>
            <w:shd w:val="clear" w:color="auto" w:fill="CCFFCC"/>
          </w:tcPr>
          <w:p w14:paraId="2B8886A5" w14:textId="77777777" w:rsidR="009939E2" w:rsidRPr="009939E2" w:rsidRDefault="009939E2" w:rsidP="00945579">
            <w:pPr>
              <w:jc w:val="center"/>
              <w:rPr>
                <w:rFonts w:cs="Arial"/>
                <w:b/>
                <w:sz w:val="24"/>
                <w:szCs w:val="24"/>
              </w:rPr>
            </w:pPr>
            <w:r w:rsidRPr="009939E2">
              <w:rPr>
                <w:rFonts w:cs="Arial"/>
                <w:b/>
                <w:sz w:val="24"/>
                <w:szCs w:val="24"/>
              </w:rPr>
              <w:t>Date</w:t>
            </w:r>
          </w:p>
        </w:tc>
        <w:tc>
          <w:tcPr>
            <w:tcW w:w="2408" w:type="dxa"/>
            <w:shd w:val="clear" w:color="auto" w:fill="CCFFCC"/>
          </w:tcPr>
          <w:p w14:paraId="2FA2417B" w14:textId="77777777" w:rsidR="009939E2" w:rsidRPr="009939E2" w:rsidRDefault="009939E2" w:rsidP="00945579">
            <w:pPr>
              <w:jc w:val="center"/>
              <w:rPr>
                <w:rFonts w:cs="Arial"/>
                <w:b/>
                <w:sz w:val="24"/>
                <w:szCs w:val="24"/>
              </w:rPr>
            </w:pPr>
            <w:r w:rsidRPr="009939E2">
              <w:rPr>
                <w:rFonts w:cs="Arial"/>
                <w:b/>
                <w:sz w:val="24"/>
                <w:szCs w:val="24"/>
              </w:rPr>
              <w:t>Details of amendment</w:t>
            </w:r>
          </w:p>
        </w:tc>
        <w:tc>
          <w:tcPr>
            <w:tcW w:w="1381" w:type="dxa"/>
            <w:shd w:val="clear" w:color="auto" w:fill="CCFFCC"/>
          </w:tcPr>
          <w:p w14:paraId="7EB6E7D8" w14:textId="77777777" w:rsidR="009939E2" w:rsidRPr="009939E2" w:rsidRDefault="009939E2" w:rsidP="00945579">
            <w:pPr>
              <w:jc w:val="center"/>
              <w:rPr>
                <w:rFonts w:cs="Arial"/>
                <w:b/>
                <w:sz w:val="24"/>
                <w:szCs w:val="24"/>
              </w:rPr>
            </w:pPr>
            <w:r w:rsidRPr="009939E2">
              <w:rPr>
                <w:rFonts w:cs="Arial"/>
                <w:b/>
                <w:sz w:val="24"/>
                <w:szCs w:val="24"/>
              </w:rPr>
              <w:t>Creator/</w:t>
            </w:r>
          </w:p>
          <w:p w14:paraId="49E93358" w14:textId="77777777" w:rsidR="009939E2" w:rsidRPr="009939E2" w:rsidRDefault="009939E2" w:rsidP="00945579">
            <w:pPr>
              <w:jc w:val="center"/>
              <w:rPr>
                <w:rFonts w:cs="Arial"/>
                <w:b/>
                <w:sz w:val="24"/>
                <w:szCs w:val="24"/>
              </w:rPr>
            </w:pPr>
            <w:r w:rsidRPr="009939E2">
              <w:rPr>
                <w:rFonts w:cs="Arial"/>
                <w:b/>
                <w:sz w:val="24"/>
                <w:szCs w:val="24"/>
              </w:rPr>
              <w:t>amender</w:t>
            </w:r>
          </w:p>
        </w:tc>
        <w:tc>
          <w:tcPr>
            <w:tcW w:w="1577" w:type="dxa"/>
            <w:shd w:val="clear" w:color="auto" w:fill="CCFFCC"/>
          </w:tcPr>
          <w:p w14:paraId="126383C6" w14:textId="77777777" w:rsidR="009939E2" w:rsidRPr="009939E2" w:rsidRDefault="009939E2" w:rsidP="00945579">
            <w:pPr>
              <w:jc w:val="center"/>
              <w:rPr>
                <w:rFonts w:cs="Arial"/>
                <w:b/>
                <w:sz w:val="24"/>
                <w:szCs w:val="24"/>
              </w:rPr>
            </w:pPr>
            <w:r w:rsidRPr="009939E2">
              <w:rPr>
                <w:rFonts w:cs="Arial"/>
                <w:b/>
                <w:sz w:val="24"/>
                <w:szCs w:val="24"/>
              </w:rPr>
              <w:t>Approved by</w:t>
            </w:r>
          </w:p>
        </w:tc>
        <w:tc>
          <w:tcPr>
            <w:tcW w:w="1357" w:type="dxa"/>
            <w:shd w:val="clear" w:color="auto" w:fill="CCFFCC"/>
          </w:tcPr>
          <w:p w14:paraId="0EC2FD61" w14:textId="77777777" w:rsidR="009939E2" w:rsidRPr="009939E2" w:rsidRDefault="009939E2" w:rsidP="00945579">
            <w:pPr>
              <w:jc w:val="center"/>
              <w:rPr>
                <w:rFonts w:cs="Arial"/>
                <w:b/>
                <w:sz w:val="24"/>
                <w:szCs w:val="24"/>
              </w:rPr>
            </w:pPr>
            <w:r w:rsidRPr="009939E2">
              <w:rPr>
                <w:rFonts w:cs="Arial"/>
                <w:b/>
                <w:sz w:val="24"/>
                <w:szCs w:val="24"/>
              </w:rPr>
              <w:t>Next review due</w:t>
            </w:r>
          </w:p>
        </w:tc>
      </w:tr>
      <w:tr w:rsidR="009939E2" w:rsidRPr="009939E2" w14:paraId="5276F707" w14:textId="77777777" w:rsidTr="009939E2">
        <w:tc>
          <w:tcPr>
            <w:tcW w:w="1097" w:type="dxa"/>
          </w:tcPr>
          <w:p w14:paraId="4BFF445D" w14:textId="77777777" w:rsidR="009939E2" w:rsidRPr="009939E2" w:rsidRDefault="009939E2" w:rsidP="00945579">
            <w:pPr>
              <w:jc w:val="center"/>
              <w:rPr>
                <w:rFonts w:cs="Arial"/>
                <w:sz w:val="24"/>
                <w:szCs w:val="24"/>
              </w:rPr>
            </w:pPr>
            <w:r w:rsidRPr="009939E2">
              <w:rPr>
                <w:rFonts w:cs="Arial"/>
                <w:sz w:val="24"/>
                <w:szCs w:val="24"/>
              </w:rPr>
              <w:t>1</w:t>
            </w:r>
          </w:p>
        </w:tc>
        <w:tc>
          <w:tcPr>
            <w:tcW w:w="1186" w:type="dxa"/>
          </w:tcPr>
          <w:p w14:paraId="1AEE6E7E" w14:textId="77777777" w:rsidR="009939E2" w:rsidRPr="009939E2" w:rsidRDefault="009939E2" w:rsidP="00945579">
            <w:pPr>
              <w:jc w:val="center"/>
              <w:rPr>
                <w:rFonts w:cs="Arial"/>
                <w:sz w:val="24"/>
                <w:szCs w:val="24"/>
              </w:rPr>
            </w:pPr>
            <w:r w:rsidRPr="009939E2">
              <w:rPr>
                <w:rFonts w:cs="Arial"/>
              </w:rPr>
              <w:t>March 2012</w:t>
            </w:r>
          </w:p>
        </w:tc>
        <w:tc>
          <w:tcPr>
            <w:tcW w:w="2408" w:type="dxa"/>
          </w:tcPr>
          <w:p w14:paraId="48118EEC" w14:textId="77777777" w:rsidR="009939E2" w:rsidRPr="009939E2" w:rsidRDefault="009939E2" w:rsidP="00945579">
            <w:pPr>
              <w:jc w:val="center"/>
              <w:rPr>
                <w:rFonts w:cs="Arial"/>
                <w:sz w:val="24"/>
                <w:szCs w:val="24"/>
              </w:rPr>
            </w:pPr>
            <w:r w:rsidRPr="009939E2">
              <w:rPr>
                <w:rFonts w:cs="Arial"/>
              </w:rPr>
              <w:t xml:space="preserve">N/A </w:t>
            </w:r>
          </w:p>
        </w:tc>
        <w:tc>
          <w:tcPr>
            <w:tcW w:w="1381" w:type="dxa"/>
          </w:tcPr>
          <w:p w14:paraId="64A4C195" w14:textId="77777777" w:rsidR="009939E2" w:rsidRPr="009939E2" w:rsidRDefault="009939E2" w:rsidP="00945579">
            <w:pPr>
              <w:jc w:val="center"/>
              <w:rPr>
                <w:rFonts w:cs="Arial"/>
                <w:sz w:val="24"/>
                <w:szCs w:val="24"/>
              </w:rPr>
            </w:pPr>
            <w:r w:rsidRPr="009939E2">
              <w:rPr>
                <w:rFonts w:cs="Arial"/>
              </w:rPr>
              <w:t>Amanda Harper</w:t>
            </w:r>
          </w:p>
        </w:tc>
        <w:tc>
          <w:tcPr>
            <w:tcW w:w="1577" w:type="dxa"/>
          </w:tcPr>
          <w:p w14:paraId="1FA366C5" w14:textId="77777777" w:rsidR="009939E2" w:rsidRPr="009939E2" w:rsidRDefault="009939E2" w:rsidP="00945579">
            <w:pPr>
              <w:jc w:val="center"/>
              <w:rPr>
                <w:rFonts w:cs="Arial"/>
                <w:sz w:val="24"/>
                <w:szCs w:val="24"/>
              </w:rPr>
            </w:pPr>
            <w:r w:rsidRPr="009939E2">
              <w:rPr>
                <w:rFonts w:cs="Arial"/>
              </w:rPr>
              <w:t>DHIP Project Group</w:t>
            </w:r>
          </w:p>
        </w:tc>
        <w:tc>
          <w:tcPr>
            <w:tcW w:w="1357" w:type="dxa"/>
          </w:tcPr>
          <w:p w14:paraId="5AAA4DC9" w14:textId="77777777" w:rsidR="009939E2" w:rsidRPr="009939E2" w:rsidRDefault="009939E2" w:rsidP="00945579">
            <w:pPr>
              <w:jc w:val="center"/>
              <w:rPr>
                <w:rFonts w:cs="Arial"/>
                <w:sz w:val="24"/>
                <w:szCs w:val="24"/>
              </w:rPr>
            </w:pPr>
            <w:r w:rsidRPr="009939E2">
              <w:rPr>
                <w:rFonts w:cs="Arial"/>
              </w:rPr>
              <w:t>2013/14</w:t>
            </w:r>
          </w:p>
        </w:tc>
      </w:tr>
      <w:tr w:rsidR="009939E2" w:rsidRPr="009939E2" w14:paraId="378E8426" w14:textId="77777777" w:rsidTr="009939E2">
        <w:tc>
          <w:tcPr>
            <w:tcW w:w="1097" w:type="dxa"/>
          </w:tcPr>
          <w:p w14:paraId="38EFADAC" w14:textId="77777777" w:rsidR="009939E2" w:rsidRPr="009939E2" w:rsidRDefault="009939E2" w:rsidP="00945579">
            <w:pPr>
              <w:jc w:val="center"/>
              <w:rPr>
                <w:rFonts w:cs="Arial"/>
                <w:sz w:val="24"/>
                <w:szCs w:val="24"/>
              </w:rPr>
            </w:pPr>
            <w:r w:rsidRPr="009939E2">
              <w:rPr>
                <w:rFonts w:cs="Arial"/>
                <w:sz w:val="24"/>
                <w:szCs w:val="24"/>
              </w:rPr>
              <w:t>2</w:t>
            </w:r>
          </w:p>
        </w:tc>
        <w:tc>
          <w:tcPr>
            <w:tcW w:w="1186" w:type="dxa"/>
          </w:tcPr>
          <w:p w14:paraId="5DE66910" w14:textId="77777777" w:rsidR="009939E2" w:rsidRPr="009939E2" w:rsidRDefault="009939E2" w:rsidP="00945579">
            <w:pPr>
              <w:jc w:val="center"/>
              <w:rPr>
                <w:rFonts w:cs="Arial"/>
                <w:sz w:val="24"/>
                <w:szCs w:val="24"/>
              </w:rPr>
            </w:pPr>
            <w:r w:rsidRPr="009939E2">
              <w:rPr>
                <w:rFonts w:cs="Arial"/>
              </w:rPr>
              <w:t>January 2020</w:t>
            </w:r>
          </w:p>
        </w:tc>
        <w:tc>
          <w:tcPr>
            <w:tcW w:w="2408" w:type="dxa"/>
          </w:tcPr>
          <w:p w14:paraId="6B5972E3" w14:textId="77777777" w:rsidR="009939E2" w:rsidRPr="009939E2" w:rsidRDefault="009939E2" w:rsidP="00945579">
            <w:pPr>
              <w:ind w:left="360"/>
              <w:rPr>
                <w:rFonts w:cs="Arial"/>
                <w:sz w:val="24"/>
                <w:szCs w:val="24"/>
              </w:rPr>
            </w:pPr>
            <w:r w:rsidRPr="009939E2">
              <w:rPr>
                <w:rFonts w:cs="Arial"/>
                <w:sz w:val="24"/>
                <w:szCs w:val="24"/>
              </w:rPr>
              <w:t xml:space="preserve">Review </w:t>
            </w:r>
          </w:p>
        </w:tc>
        <w:tc>
          <w:tcPr>
            <w:tcW w:w="1381" w:type="dxa"/>
          </w:tcPr>
          <w:p w14:paraId="619953C4" w14:textId="77777777" w:rsidR="009939E2" w:rsidRPr="009939E2" w:rsidRDefault="009939E2" w:rsidP="00945579">
            <w:pPr>
              <w:jc w:val="center"/>
              <w:rPr>
                <w:rFonts w:cs="Arial"/>
                <w:sz w:val="24"/>
                <w:szCs w:val="24"/>
              </w:rPr>
            </w:pPr>
            <w:r w:rsidRPr="009939E2">
              <w:rPr>
                <w:rFonts w:cs="Arial"/>
              </w:rPr>
              <w:t xml:space="preserve">Elizabeth Turner </w:t>
            </w:r>
          </w:p>
        </w:tc>
        <w:tc>
          <w:tcPr>
            <w:tcW w:w="1577" w:type="dxa"/>
          </w:tcPr>
          <w:p w14:paraId="522F7638" w14:textId="77777777" w:rsidR="009939E2" w:rsidRPr="009939E2" w:rsidRDefault="009939E2" w:rsidP="00945579">
            <w:pPr>
              <w:jc w:val="center"/>
              <w:rPr>
                <w:rFonts w:cs="Arial"/>
                <w:sz w:val="24"/>
                <w:szCs w:val="24"/>
              </w:rPr>
            </w:pPr>
          </w:p>
        </w:tc>
        <w:tc>
          <w:tcPr>
            <w:tcW w:w="1357" w:type="dxa"/>
          </w:tcPr>
          <w:p w14:paraId="01D73164" w14:textId="77777777" w:rsidR="009939E2" w:rsidRPr="009939E2" w:rsidRDefault="009939E2" w:rsidP="00945579">
            <w:pPr>
              <w:jc w:val="center"/>
              <w:rPr>
                <w:rFonts w:cs="Arial"/>
                <w:sz w:val="24"/>
                <w:szCs w:val="24"/>
              </w:rPr>
            </w:pPr>
            <w:r w:rsidRPr="009939E2">
              <w:rPr>
                <w:rFonts w:cs="Arial"/>
              </w:rPr>
              <w:t>2021/22</w:t>
            </w:r>
          </w:p>
        </w:tc>
      </w:tr>
      <w:tr w:rsidR="009939E2" w:rsidRPr="009939E2" w14:paraId="014207F1" w14:textId="77777777" w:rsidTr="009939E2">
        <w:tc>
          <w:tcPr>
            <w:tcW w:w="1097" w:type="dxa"/>
          </w:tcPr>
          <w:p w14:paraId="71706FD5" w14:textId="038D6A97" w:rsidR="009939E2" w:rsidRPr="009939E2" w:rsidRDefault="009939E2" w:rsidP="00945579">
            <w:pPr>
              <w:jc w:val="center"/>
              <w:rPr>
                <w:rFonts w:cs="Arial"/>
                <w:sz w:val="24"/>
                <w:szCs w:val="24"/>
              </w:rPr>
            </w:pPr>
            <w:r w:rsidRPr="009939E2">
              <w:rPr>
                <w:rFonts w:cs="Arial"/>
                <w:sz w:val="24"/>
                <w:szCs w:val="24"/>
              </w:rPr>
              <w:t>3</w:t>
            </w:r>
            <w:r w:rsidR="00D32786">
              <w:rPr>
                <w:rFonts w:cs="Arial"/>
                <w:sz w:val="24"/>
                <w:szCs w:val="24"/>
              </w:rPr>
              <w:t>.2</w:t>
            </w:r>
          </w:p>
        </w:tc>
        <w:tc>
          <w:tcPr>
            <w:tcW w:w="1186" w:type="dxa"/>
          </w:tcPr>
          <w:p w14:paraId="017F40E8" w14:textId="77777777" w:rsidR="009939E2" w:rsidRPr="009939E2" w:rsidRDefault="009939E2" w:rsidP="00945579">
            <w:pPr>
              <w:jc w:val="center"/>
              <w:rPr>
                <w:rFonts w:cs="Arial"/>
                <w:sz w:val="24"/>
                <w:szCs w:val="24"/>
              </w:rPr>
            </w:pPr>
            <w:r w:rsidRPr="009939E2">
              <w:rPr>
                <w:rFonts w:cs="Arial"/>
                <w:sz w:val="24"/>
                <w:szCs w:val="24"/>
              </w:rPr>
              <w:t>March 2022</w:t>
            </w:r>
          </w:p>
        </w:tc>
        <w:tc>
          <w:tcPr>
            <w:tcW w:w="2408" w:type="dxa"/>
          </w:tcPr>
          <w:p w14:paraId="567B58F8" w14:textId="53B2AA81" w:rsidR="009939E2" w:rsidRPr="009939E2" w:rsidRDefault="009939E2" w:rsidP="009939E2">
            <w:pPr>
              <w:textAlignment w:val="center"/>
              <w:rPr>
                <w:rFonts w:cs="Arial"/>
                <w:szCs w:val="22"/>
                <w:lang w:eastAsia="en-GB"/>
              </w:rPr>
            </w:pPr>
            <w:r w:rsidRPr="009939E2">
              <w:rPr>
                <w:rFonts w:cs="Arial"/>
                <w:szCs w:val="22"/>
                <w:lang w:eastAsia="en-GB"/>
              </w:rPr>
              <w:t>New sections added (6,7,8, 9 and 13)</w:t>
            </w:r>
          </w:p>
          <w:p w14:paraId="0843F607" w14:textId="77777777" w:rsidR="009939E2" w:rsidRPr="009939E2" w:rsidRDefault="009939E2" w:rsidP="009939E2">
            <w:pPr>
              <w:textAlignment w:val="center"/>
              <w:rPr>
                <w:rFonts w:cs="Arial"/>
                <w:szCs w:val="22"/>
                <w:lang w:eastAsia="en-GB"/>
              </w:rPr>
            </w:pPr>
          </w:p>
          <w:p w14:paraId="5510F603" w14:textId="72894F79" w:rsidR="009939E2" w:rsidRPr="009939E2" w:rsidRDefault="009939E2" w:rsidP="009939E2">
            <w:pPr>
              <w:textAlignment w:val="center"/>
              <w:rPr>
                <w:rFonts w:cs="Arial"/>
                <w:szCs w:val="22"/>
                <w:lang w:eastAsia="en-GB"/>
              </w:rPr>
            </w:pPr>
            <w:r w:rsidRPr="009939E2">
              <w:rPr>
                <w:rFonts w:cs="Arial"/>
                <w:szCs w:val="22"/>
                <w:lang w:eastAsia="en-GB"/>
              </w:rPr>
              <w:t>Formatting and Grammatical changes</w:t>
            </w:r>
          </w:p>
          <w:p w14:paraId="18BADCBB" w14:textId="77777777" w:rsidR="009939E2" w:rsidRPr="009939E2" w:rsidRDefault="009939E2" w:rsidP="009939E2">
            <w:pPr>
              <w:textAlignment w:val="center"/>
              <w:rPr>
                <w:rFonts w:cs="Arial"/>
                <w:szCs w:val="22"/>
                <w:lang w:eastAsia="en-GB"/>
              </w:rPr>
            </w:pPr>
          </w:p>
          <w:p w14:paraId="06BABBB7" w14:textId="77777777" w:rsidR="009939E2" w:rsidRPr="009939E2" w:rsidRDefault="009939E2" w:rsidP="009939E2">
            <w:pPr>
              <w:textAlignment w:val="center"/>
              <w:rPr>
                <w:rFonts w:cs="Arial"/>
                <w:szCs w:val="22"/>
                <w:lang w:eastAsia="en-GB"/>
              </w:rPr>
            </w:pPr>
            <w:r w:rsidRPr="009939E2">
              <w:rPr>
                <w:rFonts w:cs="Arial"/>
                <w:szCs w:val="22"/>
                <w:lang w:eastAsia="en-GB"/>
              </w:rPr>
              <w:t xml:space="preserve">Within the sections, </w:t>
            </w:r>
            <w:proofErr w:type="gramStart"/>
            <w:r w:rsidRPr="009939E2">
              <w:rPr>
                <w:rFonts w:cs="Arial"/>
                <w:szCs w:val="22"/>
                <w:lang w:eastAsia="en-GB"/>
              </w:rPr>
              <w:t>added</w:t>
            </w:r>
            <w:proofErr w:type="gramEnd"/>
          </w:p>
          <w:p w14:paraId="44C0212A" w14:textId="77777777" w:rsidR="009939E2" w:rsidRPr="009939E2" w:rsidRDefault="009939E2" w:rsidP="009939E2">
            <w:pPr>
              <w:pStyle w:val="ListParagraph"/>
              <w:numPr>
                <w:ilvl w:val="0"/>
                <w:numId w:val="3"/>
              </w:numPr>
              <w:textAlignment w:val="center"/>
              <w:rPr>
                <w:rFonts w:cs="Arial"/>
                <w:szCs w:val="22"/>
                <w:lang w:eastAsia="en-GB"/>
              </w:rPr>
            </w:pPr>
            <w:r w:rsidRPr="009939E2">
              <w:rPr>
                <w:rFonts w:cs="Arial"/>
                <w:szCs w:val="22"/>
                <w:lang w:eastAsia="en-GB"/>
              </w:rPr>
              <w:t>4.2</w:t>
            </w:r>
          </w:p>
          <w:p w14:paraId="19C51F41" w14:textId="77777777" w:rsidR="009939E2" w:rsidRPr="009939E2" w:rsidRDefault="009939E2" w:rsidP="009939E2">
            <w:pPr>
              <w:pStyle w:val="ListParagraph"/>
              <w:numPr>
                <w:ilvl w:val="0"/>
                <w:numId w:val="3"/>
              </w:numPr>
              <w:textAlignment w:val="center"/>
              <w:rPr>
                <w:rFonts w:cs="Arial"/>
                <w:szCs w:val="22"/>
                <w:lang w:eastAsia="en-GB"/>
              </w:rPr>
            </w:pPr>
            <w:r w:rsidRPr="009939E2">
              <w:rPr>
                <w:rFonts w:cs="Arial"/>
                <w:szCs w:val="22"/>
                <w:lang w:eastAsia="en-GB"/>
              </w:rPr>
              <w:t>5.2, 5.3</w:t>
            </w:r>
          </w:p>
          <w:p w14:paraId="3A4CAFAB" w14:textId="77777777" w:rsidR="009939E2" w:rsidRPr="009939E2" w:rsidRDefault="009939E2" w:rsidP="009939E2">
            <w:pPr>
              <w:pStyle w:val="ListParagraph"/>
              <w:numPr>
                <w:ilvl w:val="0"/>
                <w:numId w:val="3"/>
              </w:numPr>
              <w:textAlignment w:val="center"/>
              <w:rPr>
                <w:rFonts w:cs="Arial"/>
                <w:szCs w:val="22"/>
                <w:lang w:eastAsia="en-GB"/>
              </w:rPr>
            </w:pPr>
            <w:r w:rsidRPr="009939E2">
              <w:rPr>
                <w:rFonts w:cs="Arial"/>
                <w:szCs w:val="22"/>
                <w:lang w:eastAsia="en-GB"/>
              </w:rPr>
              <w:t xml:space="preserve">10.2 </w:t>
            </w:r>
            <w:proofErr w:type="gramStart"/>
            <w:r w:rsidRPr="009939E2">
              <w:rPr>
                <w:rFonts w:cs="Arial"/>
                <w:szCs w:val="22"/>
                <w:lang w:eastAsia="en-GB"/>
              </w:rPr>
              <w:t>( e</w:t>
            </w:r>
            <w:proofErr w:type="gramEnd"/>
            <w:r w:rsidRPr="009939E2">
              <w:rPr>
                <w:rFonts w:cs="Arial"/>
                <w:szCs w:val="22"/>
                <w:lang w:eastAsia="en-GB"/>
              </w:rPr>
              <w:t>)</w:t>
            </w:r>
          </w:p>
          <w:p w14:paraId="2AFC0FA9" w14:textId="77777777" w:rsidR="009939E2" w:rsidRPr="009939E2" w:rsidRDefault="009939E2" w:rsidP="009939E2">
            <w:pPr>
              <w:pStyle w:val="ListParagraph"/>
              <w:numPr>
                <w:ilvl w:val="0"/>
                <w:numId w:val="3"/>
              </w:numPr>
              <w:textAlignment w:val="center"/>
              <w:rPr>
                <w:rFonts w:cs="Arial"/>
                <w:szCs w:val="22"/>
                <w:lang w:eastAsia="en-GB"/>
              </w:rPr>
            </w:pPr>
            <w:r w:rsidRPr="009939E2">
              <w:rPr>
                <w:rFonts w:cs="Arial"/>
                <w:szCs w:val="22"/>
                <w:lang w:eastAsia="en-GB"/>
              </w:rPr>
              <w:t>17.1 specifics</w:t>
            </w:r>
          </w:p>
          <w:p w14:paraId="09E9C7F2" w14:textId="77777777" w:rsidR="009939E2" w:rsidRPr="009939E2" w:rsidRDefault="009939E2" w:rsidP="00945579">
            <w:pPr>
              <w:ind w:left="360"/>
              <w:rPr>
                <w:rFonts w:cs="Arial"/>
                <w:sz w:val="24"/>
                <w:szCs w:val="24"/>
              </w:rPr>
            </w:pPr>
          </w:p>
        </w:tc>
        <w:tc>
          <w:tcPr>
            <w:tcW w:w="1381" w:type="dxa"/>
          </w:tcPr>
          <w:p w14:paraId="68A84337" w14:textId="750277C2" w:rsidR="009939E2" w:rsidRPr="009939E2" w:rsidRDefault="009939E2" w:rsidP="00945579">
            <w:pPr>
              <w:jc w:val="center"/>
              <w:rPr>
                <w:rFonts w:cs="Arial"/>
                <w:sz w:val="24"/>
                <w:szCs w:val="24"/>
              </w:rPr>
            </w:pPr>
            <w:r w:rsidRPr="009939E2">
              <w:rPr>
                <w:rFonts w:cs="Arial"/>
                <w:sz w:val="24"/>
                <w:szCs w:val="24"/>
              </w:rPr>
              <w:t>Andrew Wallace</w:t>
            </w:r>
          </w:p>
        </w:tc>
        <w:tc>
          <w:tcPr>
            <w:tcW w:w="1577" w:type="dxa"/>
          </w:tcPr>
          <w:p w14:paraId="1A277215" w14:textId="77777777" w:rsidR="009939E2" w:rsidRPr="009939E2" w:rsidRDefault="009939E2" w:rsidP="00945579">
            <w:pPr>
              <w:jc w:val="center"/>
              <w:rPr>
                <w:rFonts w:cs="Arial"/>
                <w:sz w:val="24"/>
                <w:szCs w:val="24"/>
              </w:rPr>
            </w:pPr>
          </w:p>
        </w:tc>
        <w:tc>
          <w:tcPr>
            <w:tcW w:w="1357" w:type="dxa"/>
          </w:tcPr>
          <w:p w14:paraId="76504A5F" w14:textId="3AC21AFC" w:rsidR="009939E2" w:rsidRPr="009939E2" w:rsidRDefault="009939E2" w:rsidP="00945579">
            <w:pPr>
              <w:jc w:val="center"/>
              <w:rPr>
                <w:rFonts w:cs="Arial"/>
                <w:sz w:val="24"/>
                <w:szCs w:val="24"/>
              </w:rPr>
            </w:pPr>
            <w:r w:rsidRPr="009939E2">
              <w:rPr>
                <w:rFonts w:cs="Arial"/>
                <w:sz w:val="24"/>
                <w:szCs w:val="24"/>
              </w:rPr>
              <w:t>2024/25</w:t>
            </w:r>
          </w:p>
        </w:tc>
      </w:tr>
      <w:tr w:rsidR="004B1D28" w:rsidRPr="009939E2" w14:paraId="39731F3E" w14:textId="77777777" w:rsidTr="009939E2">
        <w:tc>
          <w:tcPr>
            <w:tcW w:w="1097" w:type="dxa"/>
          </w:tcPr>
          <w:p w14:paraId="65AF66A1" w14:textId="10826711" w:rsidR="004B1D28" w:rsidRPr="009939E2" w:rsidRDefault="004B1D28" w:rsidP="00945579">
            <w:pPr>
              <w:jc w:val="center"/>
              <w:rPr>
                <w:rFonts w:cs="Arial"/>
                <w:sz w:val="24"/>
                <w:szCs w:val="24"/>
              </w:rPr>
            </w:pPr>
            <w:r>
              <w:rPr>
                <w:rFonts w:cs="Arial"/>
                <w:sz w:val="24"/>
                <w:szCs w:val="24"/>
              </w:rPr>
              <w:t>4</w:t>
            </w:r>
          </w:p>
        </w:tc>
        <w:tc>
          <w:tcPr>
            <w:tcW w:w="1186" w:type="dxa"/>
          </w:tcPr>
          <w:p w14:paraId="15012E65" w14:textId="72B73FF4" w:rsidR="004B1D28" w:rsidRPr="009939E2" w:rsidRDefault="004B1D28" w:rsidP="00945579">
            <w:pPr>
              <w:jc w:val="center"/>
              <w:rPr>
                <w:rFonts w:cs="Arial"/>
                <w:sz w:val="24"/>
                <w:szCs w:val="24"/>
              </w:rPr>
            </w:pPr>
            <w:r>
              <w:rPr>
                <w:rFonts w:cs="Arial"/>
                <w:sz w:val="24"/>
                <w:szCs w:val="24"/>
              </w:rPr>
              <w:t>April 2024</w:t>
            </w:r>
          </w:p>
        </w:tc>
        <w:tc>
          <w:tcPr>
            <w:tcW w:w="2408" w:type="dxa"/>
          </w:tcPr>
          <w:p w14:paraId="695D8E7D" w14:textId="572C171B" w:rsidR="004B1D28" w:rsidRPr="009939E2" w:rsidRDefault="004B1D28" w:rsidP="009939E2">
            <w:pPr>
              <w:textAlignment w:val="center"/>
              <w:rPr>
                <w:rFonts w:cs="Arial"/>
                <w:szCs w:val="22"/>
                <w:lang w:eastAsia="en-GB"/>
              </w:rPr>
            </w:pPr>
            <w:r>
              <w:rPr>
                <w:rFonts w:cs="Arial"/>
                <w:szCs w:val="22"/>
                <w:lang w:eastAsia="en-GB"/>
              </w:rPr>
              <w:t>Include decanting until hazards rectified</w:t>
            </w:r>
          </w:p>
        </w:tc>
        <w:tc>
          <w:tcPr>
            <w:tcW w:w="1381" w:type="dxa"/>
          </w:tcPr>
          <w:p w14:paraId="45303B49" w14:textId="54CD5484" w:rsidR="004B1D28" w:rsidRPr="009939E2" w:rsidRDefault="004B1D28" w:rsidP="00945579">
            <w:pPr>
              <w:jc w:val="center"/>
              <w:rPr>
                <w:rFonts w:cs="Arial"/>
                <w:sz w:val="24"/>
                <w:szCs w:val="24"/>
              </w:rPr>
            </w:pPr>
            <w:r>
              <w:rPr>
                <w:rFonts w:cs="Arial"/>
                <w:sz w:val="24"/>
                <w:szCs w:val="24"/>
              </w:rPr>
              <w:t>David Scruton</w:t>
            </w:r>
          </w:p>
        </w:tc>
        <w:tc>
          <w:tcPr>
            <w:tcW w:w="1577" w:type="dxa"/>
          </w:tcPr>
          <w:p w14:paraId="665F2C3E" w14:textId="4ABF3591" w:rsidR="004B1D28" w:rsidRPr="009939E2" w:rsidRDefault="004B1D28" w:rsidP="00945579">
            <w:pPr>
              <w:jc w:val="center"/>
              <w:rPr>
                <w:rFonts w:cs="Arial"/>
                <w:sz w:val="24"/>
                <w:szCs w:val="24"/>
              </w:rPr>
            </w:pPr>
            <w:r>
              <w:rPr>
                <w:rFonts w:cs="Arial"/>
                <w:sz w:val="24"/>
                <w:szCs w:val="24"/>
              </w:rPr>
              <w:t>Tbc- Cabinet?</w:t>
            </w:r>
          </w:p>
        </w:tc>
        <w:tc>
          <w:tcPr>
            <w:tcW w:w="1357" w:type="dxa"/>
          </w:tcPr>
          <w:p w14:paraId="6C3146B9" w14:textId="77777777" w:rsidR="004B1D28" w:rsidRPr="009939E2" w:rsidRDefault="004B1D28" w:rsidP="00945579">
            <w:pPr>
              <w:jc w:val="center"/>
              <w:rPr>
                <w:rFonts w:cs="Arial"/>
                <w:sz w:val="24"/>
                <w:szCs w:val="24"/>
              </w:rPr>
            </w:pPr>
          </w:p>
        </w:tc>
      </w:tr>
    </w:tbl>
    <w:p w14:paraId="7E5294C8" w14:textId="77777777" w:rsidR="009939E2" w:rsidRPr="009939E2" w:rsidRDefault="009939E2" w:rsidP="009939E2">
      <w:pPr>
        <w:rPr>
          <w:rFonts w:cs="Arial"/>
          <w:sz w:val="24"/>
          <w:szCs w:val="24"/>
        </w:rPr>
      </w:pPr>
    </w:p>
    <w:p w14:paraId="15D610C3" w14:textId="65036B2F" w:rsidR="00C63D3A" w:rsidRPr="009939E2" w:rsidRDefault="009939E2" w:rsidP="009939E2">
      <w:pPr>
        <w:ind w:left="-180"/>
        <w:rPr>
          <w:rFonts w:cs="Arial"/>
          <w:sz w:val="24"/>
          <w:szCs w:val="24"/>
        </w:rPr>
      </w:pPr>
      <w:r w:rsidRPr="009939E2">
        <w:rPr>
          <w:rFonts w:cs="Arial"/>
          <w:sz w:val="24"/>
          <w:szCs w:val="24"/>
        </w:rPr>
        <w:lastRenderedPageBreak/>
        <w:t>Copies of this document are available upon request and can be obtained in large print or translated into other languages, if required.</w:t>
      </w:r>
    </w:p>
    <w:p w14:paraId="7C6B835D" w14:textId="77777777" w:rsidR="009939E2" w:rsidRPr="009939E2" w:rsidRDefault="009939E2" w:rsidP="009939E2">
      <w:pPr>
        <w:pStyle w:val="Heading1"/>
        <w:rPr>
          <w:rFonts w:ascii="Arial" w:hAnsi="Arial" w:cs="Arial"/>
        </w:rPr>
      </w:pPr>
      <w:bookmarkStart w:id="0" w:name="_Toc98408433"/>
      <w:r w:rsidRPr="009939E2">
        <w:rPr>
          <w:rFonts w:ascii="Arial" w:hAnsi="Arial" w:cs="Arial"/>
        </w:rPr>
        <w:t>HOUSING/PROPERTY SERVICES DECANT POLICY</w:t>
      </w:r>
      <w:bookmarkEnd w:id="0"/>
    </w:p>
    <w:p w14:paraId="439B8B09" w14:textId="77777777" w:rsidR="009939E2" w:rsidRPr="009939E2" w:rsidRDefault="009939E2" w:rsidP="009939E2">
      <w:pPr>
        <w:pStyle w:val="BodyText"/>
        <w:jc w:val="left"/>
        <w:rPr>
          <w:rFonts w:ascii="Arial" w:hAnsi="Arial" w:cs="Arial"/>
          <w:sz w:val="24"/>
        </w:rPr>
      </w:pPr>
    </w:p>
    <w:sdt>
      <w:sdtPr>
        <w:rPr>
          <w:rFonts w:ascii="Arial" w:eastAsia="Times New Roman" w:hAnsi="Arial" w:cs="Arial"/>
          <w:color w:val="auto"/>
          <w:sz w:val="22"/>
          <w:szCs w:val="20"/>
          <w:lang w:val="en-GB" w:eastAsia="en-GB"/>
        </w:rPr>
        <w:id w:val="-368833882"/>
        <w:docPartObj>
          <w:docPartGallery w:val="Table of Contents"/>
          <w:docPartUnique/>
        </w:docPartObj>
      </w:sdtPr>
      <w:sdtEndPr>
        <w:rPr>
          <w:b/>
          <w:bCs/>
          <w:noProof/>
          <w:lang w:eastAsia="en-US"/>
        </w:rPr>
      </w:sdtEndPr>
      <w:sdtContent>
        <w:p w14:paraId="4131A2AC" w14:textId="77777777" w:rsidR="009939E2" w:rsidRPr="009939E2" w:rsidRDefault="009939E2" w:rsidP="009939E2">
          <w:pPr>
            <w:pStyle w:val="TOCHeading"/>
            <w:rPr>
              <w:rFonts w:ascii="Arial" w:hAnsi="Arial" w:cs="Arial"/>
            </w:rPr>
          </w:pPr>
          <w:r w:rsidRPr="009939E2">
            <w:rPr>
              <w:rFonts w:ascii="Arial" w:hAnsi="Arial" w:cs="Arial"/>
            </w:rPr>
            <w:t>Contents</w:t>
          </w:r>
        </w:p>
        <w:p w14:paraId="48C20716" w14:textId="5B5A8C4B" w:rsidR="002B493F" w:rsidRDefault="009939E2">
          <w:pPr>
            <w:pStyle w:val="TOC1"/>
            <w:tabs>
              <w:tab w:val="right" w:leader="dot" w:pos="9016"/>
            </w:tabs>
            <w:rPr>
              <w:rFonts w:asciiTheme="minorHAnsi" w:eastAsiaTheme="minorEastAsia" w:hAnsiTheme="minorHAnsi" w:cstheme="minorBidi"/>
              <w:noProof/>
              <w:sz w:val="22"/>
              <w:szCs w:val="22"/>
            </w:rPr>
          </w:pPr>
          <w:r w:rsidRPr="009939E2">
            <w:rPr>
              <w:rFonts w:ascii="Arial" w:hAnsi="Arial" w:cs="Arial"/>
              <w:sz w:val="22"/>
              <w:szCs w:val="20"/>
              <w:lang w:eastAsia="en-US"/>
            </w:rPr>
            <w:fldChar w:fldCharType="begin"/>
          </w:r>
          <w:r w:rsidRPr="009939E2">
            <w:rPr>
              <w:rFonts w:ascii="Arial" w:hAnsi="Arial" w:cs="Arial"/>
            </w:rPr>
            <w:instrText xml:space="preserve"> TOC \o "1-3" \h \z \u </w:instrText>
          </w:r>
          <w:r w:rsidRPr="009939E2">
            <w:rPr>
              <w:rFonts w:ascii="Arial" w:hAnsi="Arial" w:cs="Arial"/>
              <w:sz w:val="22"/>
              <w:szCs w:val="20"/>
              <w:lang w:eastAsia="en-US"/>
            </w:rPr>
            <w:fldChar w:fldCharType="separate"/>
          </w:r>
          <w:hyperlink w:anchor="_Toc98408433" w:history="1">
            <w:r w:rsidR="002B493F" w:rsidRPr="0035007D">
              <w:rPr>
                <w:rStyle w:val="Hyperlink"/>
                <w:rFonts w:ascii="Arial" w:hAnsi="Arial" w:cs="Arial"/>
                <w:noProof/>
              </w:rPr>
              <w:t>HOUSING/PROPERTY SERVICES DECANT POLICY</w:t>
            </w:r>
            <w:r w:rsidR="002B493F">
              <w:rPr>
                <w:noProof/>
                <w:webHidden/>
              </w:rPr>
              <w:tab/>
            </w:r>
            <w:r w:rsidR="002B493F">
              <w:rPr>
                <w:noProof/>
                <w:webHidden/>
              </w:rPr>
              <w:fldChar w:fldCharType="begin"/>
            </w:r>
            <w:r w:rsidR="002B493F">
              <w:rPr>
                <w:noProof/>
                <w:webHidden/>
              </w:rPr>
              <w:instrText xml:space="preserve"> PAGEREF _Toc98408433 \h </w:instrText>
            </w:r>
            <w:r w:rsidR="002B493F">
              <w:rPr>
                <w:noProof/>
                <w:webHidden/>
              </w:rPr>
            </w:r>
            <w:r w:rsidR="002B493F">
              <w:rPr>
                <w:noProof/>
                <w:webHidden/>
              </w:rPr>
              <w:fldChar w:fldCharType="separate"/>
            </w:r>
            <w:r w:rsidR="002B493F">
              <w:rPr>
                <w:noProof/>
                <w:webHidden/>
              </w:rPr>
              <w:t>2</w:t>
            </w:r>
            <w:r w:rsidR="002B493F">
              <w:rPr>
                <w:noProof/>
                <w:webHidden/>
              </w:rPr>
              <w:fldChar w:fldCharType="end"/>
            </w:r>
          </w:hyperlink>
        </w:p>
        <w:p w14:paraId="5696B1F4" w14:textId="7C90D80A" w:rsidR="002B493F" w:rsidRDefault="002705DD" w:rsidP="005467DE">
          <w:pPr>
            <w:pStyle w:val="TOC2"/>
            <w:rPr>
              <w:rFonts w:asciiTheme="minorHAnsi" w:eastAsiaTheme="minorEastAsia" w:hAnsiTheme="minorHAnsi" w:cstheme="minorBidi"/>
              <w:noProof/>
              <w:szCs w:val="22"/>
              <w:lang w:eastAsia="en-GB"/>
            </w:rPr>
          </w:pPr>
          <w:hyperlink w:anchor="_Toc98408434" w:history="1">
            <w:r w:rsidR="002B493F" w:rsidRPr="0035007D">
              <w:rPr>
                <w:rStyle w:val="Hyperlink"/>
                <w:rFonts w:cs="Arial"/>
                <w:noProof/>
              </w:rPr>
              <w:t xml:space="preserve">1.     </w:t>
            </w:r>
            <w:r w:rsidR="005467DE">
              <w:rPr>
                <w:rStyle w:val="Hyperlink"/>
                <w:rFonts w:cs="Arial"/>
                <w:noProof/>
              </w:rPr>
              <w:tab/>
            </w:r>
            <w:r w:rsidR="002B493F" w:rsidRPr="0035007D">
              <w:rPr>
                <w:rStyle w:val="Hyperlink"/>
                <w:rFonts w:cs="Arial"/>
                <w:noProof/>
              </w:rPr>
              <w:t>Reasons for Policy</w:t>
            </w:r>
            <w:r w:rsidR="002B493F">
              <w:rPr>
                <w:noProof/>
                <w:webHidden/>
              </w:rPr>
              <w:tab/>
            </w:r>
            <w:r w:rsidR="002B493F">
              <w:rPr>
                <w:noProof/>
                <w:webHidden/>
              </w:rPr>
              <w:fldChar w:fldCharType="begin"/>
            </w:r>
            <w:r w:rsidR="002B493F">
              <w:rPr>
                <w:noProof/>
                <w:webHidden/>
              </w:rPr>
              <w:instrText xml:space="preserve"> PAGEREF _Toc98408434 \h </w:instrText>
            </w:r>
            <w:r w:rsidR="002B493F">
              <w:rPr>
                <w:noProof/>
                <w:webHidden/>
              </w:rPr>
            </w:r>
            <w:r w:rsidR="002B493F">
              <w:rPr>
                <w:noProof/>
                <w:webHidden/>
              </w:rPr>
              <w:fldChar w:fldCharType="separate"/>
            </w:r>
            <w:r w:rsidR="002B493F">
              <w:rPr>
                <w:noProof/>
                <w:webHidden/>
              </w:rPr>
              <w:t>3</w:t>
            </w:r>
            <w:r w:rsidR="002B493F">
              <w:rPr>
                <w:noProof/>
                <w:webHidden/>
              </w:rPr>
              <w:fldChar w:fldCharType="end"/>
            </w:r>
          </w:hyperlink>
        </w:p>
        <w:p w14:paraId="6E35CB1C" w14:textId="5D610290" w:rsidR="002B493F" w:rsidRDefault="002705DD" w:rsidP="00AD01AD">
          <w:pPr>
            <w:pStyle w:val="TOC2"/>
            <w:rPr>
              <w:rFonts w:asciiTheme="minorHAnsi" w:eastAsiaTheme="minorEastAsia" w:hAnsiTheme="minorHAnsi" w:cstheme="minorBidi"/>
              <w:noProof/>
              <w:szCs w:val="22"/>
              <w:lang w:eastAsia="en-GB"/>
            </w:rPr>
          </w:pPr>
          <w:hyperlink w:anchor="_Toc98408435" w:history="1">
            <w:r w:rsidR="002B493F" w:rsidRPr="0035007D">
              <w:rPr>
                <w:rStyle w:val="Hyperlink"/>
                <w:rFonts w:cs="Arial"/>
                <w:noProof/>
              </w:rPr>
              <w:t xml:space="preserve">2.     </w:t>
            </w:r>
            <w:r w:rsidR="002B493F">
              <w:rPr>
                <w:rFonts w:asciiTheme="minorHAnsi" w:eastAsiaTheme="minorEastAsia" w:hAnsiTheme="minorHAnsi" w:cstheme="minorBidi"/>
                <w:noProof/>
                <w:szCs w:val="22"/>
                <w:lang w:eastAsia="en-GB"/>
              </w:rPr>
              <w:tab/>
            </w:r>
            <w:r w:rsidR="002B493F" w:rsidRPr="0035007D">
              <w:rPr>
                <w:rStyle w:val="Hyperlink"/>
                <w:rFonts w:cs="Arial"/>
                <w:noProof/>
              </w:rPr>
              <w:t>Legislative Context</w:t>
            </w:r>
            <w:r w:rsidR="002B493F">
              <w:rPr>
                <w:noProof/>
                <w:webHidden/>
              </w:rPr>
              <w:tab/>
            </w:r>
            <w:r w:rsidR="002B493F">
              <w:rPr>
                <w:noProof/>
                <w:webHidden/>
              </w:rPr>
              <w:fldChar w:fldCharType="begin"/>
            </w:r>
            <w:r w:rsidR="002B493F">
              <w:rPr>
                <w:noProof/>
                <w:webHidden/>
              </w:rPr>
              <w:instrText xml:space="preserve"> PAGEREF _Toc98408435 \h </w:instrText>
            </w:r>
            <w:r w:rsidR="002B493F">
              <w:rPr>
                <w:noProof/>
                <w:webHidden/>
              </w:rPr>
            </w:r>
            <w:r w:rsidR="002B493F">
              <w:rPr>
                <w:noProof/>
                <w:webHidden/>
              </w:rPr>
              <w:fldChar w:fldCharType="separate"/>
            </w:r>
            <w:r w:rsidR="002B493F">
              <w:rPr>
                <w:noProof/>
                <w:webHidden/>
              </w:rPr>
              <w:t>3</w:t>
            </w:r>
            <w:r w:rsidR="002B493F">
              <w:rPr>
                <w:noProof/>
                <w:webHidden/>
              </w:rPr>
              <w:fldChar w:fldCharType="end"/>
            </w:r>
          </w:hyperlink>
        </w:p>
        <w:p w14:paraId="20BDD979" w14:textId="5BBCEA7F" w:rsidR="002B493F" w:rsidRDefault="002705DD" w:rsidP="00AD01AD">
          <w:pPr>
            <w:pStyle w:val="TOC2"/>
            <w:rPr>
              <w:rFonts w:asciiTheme="minorHAnsi" w:eastAsiaTheme="minorEastAsia" w:hAnsiTheme="minorHAnsi" w:cstheme="minorBidi"/>
              <w:noProof/>
              <w:szCs w:val="22"/>
              <w:lang w:eastAsia="en-GB"/>
            </w:rPr>
          </w:pPr>
          <w:hyperlink w:anchor="_Toc98408436" w:history="1">
            <w:r w:rsidR="002B493F" w:rsidRPr="0035007D">
              <w:rPr>
                <w:rStyle w:val="Hyperlink"/>
                <w:rFonts w:cs="Arial"/>
                <w:noProof/>
              </w:rPr>
              <w:t xml:space="preserve">3.     </w:t>
            </w:r>
            <w:r w:rsidR="005467DE">
              <w:rPr>
                <w:rStyle w:val="Hyperlink"/>
                <w:rFonts w:cs="Arial"/>
                <w:noProof/>
              </w:rPr>
              <w:tab/>
            </w:r>
            <w:r w:rsidR="002B493F" w:rsidRPr="0035007D">
              <w:rPr>
                <w:rStyle w:val="Hyperlink"/>
                <w:rFonts w:cs="Arial"/>
                <w:noProof/>
              </w:rPr>
              <w:t>Objectives of the Policy</w:t>
            </w:r>
            <w:r w:rsidR="002B493F">
              <w:rPr>
                <w:noProof/>
                <w:webHidden/>
              </w:rPr>
              <w:tab/>
            </w:r>
            <w:r w:rsidR="002B493F">
              <w:rPr>
                <w:noProof/>
                <w:webHidden/>
              </w:rPr>
              <w:fldChar w:fldCharType="begin"/>
            </w:r>
            <w:r w:rsidR="002B493F">
              <w:rPr>
                <w:noProof/>
                <w:webHidden/>
              </w:rPr>
              <w:instrText xml:space="preserve"> PAGEREF _Toc98408436 \h </w:instrText>
            </w:r>
            <w:r w:rsidR="002B493F">
              <w:rPr>
                <w:noProof/>
                <w:webHidden/>
              </w:rPr>
            </w:r>
            <w:r w:rsidR="002B493F">
              <w:rPr>
                <w:noProof/>
                <w:webHidden/>
              </w:rPr>
              <w:fldChar w:fldCharType="separate"/>
            </w:r>
            <w:r w:rsidR="002B493F">
              <w:rPr>
                <w:noProof/>
                <w:webHidden/>
              </w:rPr>
              <w:t>3</w:t>
            </w:r>
            <w:r w:rsidR="002B493F">
              <w:rPr>
                <w:noProof/>
                <w:webHidden/>
              </w:rPr>
              <w:fldChar w:fldCharType="end"/>
            </w:r>
          </w:hyperlink>
        </w:p>
        <w:p w14:paraId="2E4CCACE" w14:textId="797CF581" w:rsidR="002B493F" w:rsidRDefault="002705DD" w:rsidP="00AD01AD">
          <w:pPr>
            <w:pStyle w:val="TOC2"/>
            <w:rPr>
              <w:rFonts w:asciiTheme="minorHAnsi" w:eastAsiaTheme="minorEastAsia" w:hAnsiTheme="minorHAnsi" w:cstheme="minorBidi"/>
              <w:noProof/>
              <w:szCs w:val="22"/>
              <w:lang w:eastAsia="en-GB"/>
            </w:rPr>
          </w:pPr>
          <w:hyperlink w:anchor="_Toc98408437" w:history="1">
            <w:r w:rsidR="002B493F" w:rsidRPr="0035007D">
              <w:rPr>
                <w:rStyle w:val="Hyperlink"/>
                <w:rFonts w:cs="Arial"/>
                <w:noProof/>
              </w:rPr>
              <w:t xml:space="preserve">4.     </w:t>
            </w:r>
            <w:r w:rsidR="005467DE">
              <w:rPr>
                <w:rStyle w:val="Hyperlink"/>
                <w:rFonts w:cs="Arial"/>
                <w:noProof/>
              </w:rPr>
              <w:tab/>
            </w:r>
            <w:r w:rsidR="002B493F" w:rsidRPr="0035007D">
              <w:rPr>
                <w:rStyle w:val="Hyperlink"/>
                <w:rFonts w:cs="Arial"/>
                <w:noProof/>
              </w:rPr>
              <w:t>Definitions</w:t>
            </w:r>
            <w:r w:rsidR="002B493F">
              <w:rPr>
                <w:noProof/>
                <w:webHidden/>
              </w:rPr>
              <w:tab/>
            </w:r>
            <w:r w:rsidR="002B493F">
              <w:rPr>
                <w:noProof/>
                <w:webHidden/>
              </w:rPr>
              <w:fldChar w:fldCharType="begin"/>
            </w:r>
            <w:r w:rsidR="002B493F">
              <w:rPr>
                <w:noProof/>
                <w:webHidden/>
              </w:rPr>
              <w:instrText xml:space="preserve"> PAGEREF _Toc98408437 \h </w:instrText>
            </w:r>
            <w:r w:rsidR="002B493F">
              <w:rPr>
                <w:noProof/>
                <w:webHidden/>
              </w:rPr>
            </w:r>
            <w:r w:rsidR="002B493F">
              <w:rPr>
                <w:noProof/>
                <w:webHidden/>
              </w:rPr>
              <w:fldChar w:fldCharType="separate"/>
            </w:r>
            <w:r w:rsidR="002B493F">
              <w:rPr>
                <w:noProof/>
                <w:webHidden/>
              </w:rPr>
              <w:t>3</w:t>
            </w:r>
            <w:r w:rsidR="002B493F">
              <w:rPr>
                <w:noProof/>
                <w:webHidden/>
              </w:rPr>
              <w:fldChar w:fldCharType="end"/>
            </w:r>
          </w:hyperlink>
        </w:p>
        <w:p w14:paraId="530CFE20" w14:textId="7B6D3CE1" w:rsidR="002B493F" w:rsidRDefault="002705DD" w:rsidP="00AD01AD">
          <w:pPr>
            <w:pStyle w:val="TOC2"/>
            <w:rPr>
              <w:rFonts w:asciiTheme="minorHAnsi" w:eastAsiaTheme="minorEastAsia" w:hAnsiTheme="minorHAnsi" w:cstheme="minorBidi"/>
              <w:noProof/>
              <w:szCs w:val="22"/>
              <w:lang w:eastAsia="en-GB"/>
            </w:rPr>
          </w:pPr>
          <w:hyperlink w:anchor="_Toc98408438" w:history="1">
            <w:r w:rsidR="002B493F" w:rsidRPr="0035007D">
              <w:rPr>
                <w:rStyle w:val="Hyperlink"/>
                <w:rFonts w:cs="Arial"/>
                <w:noProof/>
              </w:rPr>
              <w:t>5.</w:t>
            </w:r>
            <w:r w:rsidR="002B493F">
              <w:rPr>
                <w:rFonts w:asciiTheme="minorHAnsi" w:eastAsiaTheme="minorEastAsia" w:hAnsiTheme="minorHAnsi" w:cstheme="minorBidi"/>
                <w:noProof/>
                <w:szCs w:val="22"/>
                <w:lang w:eastAsia="en-GB"/>
              </w:rPr>
              <w:tab/>
            </w:r>
            <w:r w:rsidR="002B493F" w:rsidRPr="0035007D">
              <w:rPr>
                <w:rStyle w:val="Hyperlink"/>
                <w:rFonts w:cs="Arial"/>
                <w:noProof/>
              </w:rPr>
              <w:t>Responsible Parties</w:t>
            </w:r>
            <w:r w:rsidR="002B493F">
              <w:rPr>
                <w:noProof/>
                <w:webHidden/>
              </w:rPr>
              <w:tab/>
            </w:r>
            <w:r w:rsidR="002B493F">
              <w:rPr>
                <w:noProof/>
                <w:webHidden/>
              </w:rPr>
              <w:fldChar w:fldCharType="begin"/>
            </w:r>
            <w:r w:rsidR="002B493F">
              <w:rPr>
                <w:noProof/>
                <w:webHidden/>
              </w:rPr>
              <w:instrText xml:space="preserve"> PAGEREF _Toc98408438 \h </w:instrText>
            </w:r>
            <w:r w:rsidR="002B493F">
              <w:rPr>
                <w:noProof/>
                <w:webHidden/>
              </w:rPr>
            </w:r>
            <w:r w:rsidR="002B493F">
              <w:rPr>
                <w:noProof/>
                <w:webHidden/>
              </w:rPr>
              <w:fldChar w:fldCharType="separate"/>
            </w:r>
            <w:r w:rsidR="002B493F">
              <w:rPr>
                <w:noProof/>
                <w:webHidden/>
              </w:rPr>
              <w:t>4</w:t>
            </w:r>
            <w:r w:rsidR="002B493F">
              <w:rPr>
                <w:noProof/>
                <w:webHidden/>
              </w:rPr>
              <w:fldChar w:fldCharType="end"/>
            </w:r>
          </w:hyperlink>
        </w:p>
        <w:p w14:paraId="347E01CB" w14:textId="4C9DC254" w:rsidR="002B493F" w:rsidRDefault="002705DD" w:rsidP="00AD01AD">
          <w:pPr>
            <w:pStyle w:val="TOC2"/>
            <w:rPr>
              <w:rFonts w:asciiTheme="minorHAnsi" w:eastAsiaTheme="minorEastAsia" w:hAnsiTheme="minorHAnsi" w:cstheme="minorBidi"/>
              <w:noProof/>
              <w:szCs w:val="22"/>
              <w:lang w:eastAsia="en-GB"/>
            </w:rPr>
          </w:pPr>
          <w:hyperlink w:anchor="_Toc98408439" w:history="1">
            <w:r w:rsidR="002B493F" w:rsidRPr="0035007D">
              <w:rPr>
                <w:rStyle w:val="Hyperlink"/>
                <w:rFonts w:cs="Arial"/>
                <w:noProof/>
              </w:rPr>
              <w:t xml:space="preserve">6. </w:t>
            </w:r>
            <w:r w:rsidR="002B493F">
              <w:rPr>
                <w:rFonts w:asciiTheme="minorHAnsi" w:eastAsiaTheme="minorEastAsia" w:hAnsiTheme="minorHAnsi" w:cstheme="minorBidi"/>
                <w:noProof/>
                <w:szCs w:val="22"/>
                <w:lang w:eastAsia="en-GB"/>
              </w:rPr>
              <w:tab/>
            </w:r>
            <w:r w:rsidR="002B493F" w:rsidRPr="0035007D">
              <w:rPr>
                <w:rStyle w:val="Hyperlink"/>
                <w:rFonts w:cs="Arial"/>
                <w:noProof/>
              </w:rPr>
              <w:t>When a Decant Will Take Place</w:t>
            </w:r>
            <w:r w:rsidR="002B493F">
              <w:rPr>
                <w:noProof/>
                <w:webHidden/>
              </w:rPr>
              <w:tab/>
            </w:r>
            <w:r w:rsidR="002B493F">
              <w:rPr>
                <w:noProof/>
                <w:webHidden/>
              </w:rPr>
              <w:fldChar w:fldCharType="begin"/>
            </w:r>
            <w:r w:rsidR="002B493F">
              <w:rPr>
                <w:noProof/>
                <w:webHidden/>
              </w:rPr>
              <w:instrText xml:space="preserve"> PAGEREF _Toc98408439 \h </w:instrText>
            </w:r>
            <w:r w:rsidR="002B493F">
              <w:rPr>
                <w:noProof/>
                <w:webHidden/>
              </w:rPr>
            </w:r>
            <w:r w:rsidR="002B493F">
              <w:rPr>
                <w:noProof/>
                <w:webHidden/>
              </w:rPr>
              <w:fldChar w:fldCharType="separate"/>
            </w:r>
            <w:r w:rsidR="002B493F">
              <w:rPr>
                <w:noProof/>
                <w:webHidden/>
              </w:rPr>
              <w:t>4</w:t>
            </w:r>
            <w:r w:rsidR="002B493F">
              <w:rPr>
                <w:noProof/>
                <w:webHidden/>
              </w:rPr>
              <w:fldChar w:fldCharType="end"/>
            </w:r>
          </w:hyperlink>
        </w:p>
        <w:p w14:paraId="61179F5D" w14:textId="517EF689" w:rsidR="002B493F" w:rsidRDefault="002705DD" w:rsidP="00AD01AD">
          <w:pPr>
            <w:pStyle w:val="TOC2"/>
            <w:rPr>
              <w:rFonts w:asciiTheme="minorHAnsi" w:eastAsiaTheme="minorEastAsia" w:hAnsiTheme="minorHAnsi" w:cstheme="minorBidi"/>
              <w:noProof/>
              <w:szCs w:val="22"/>
              <w:lang w:eastAsia="en-GB"/>
            </w:rPr>
          </w:pPr>
          <w:hyperlink w:anchor="_Toc98408440" w:history="1">
            <w:r w:rsidR="002B493F" w:rsidRPr="0035007D">
              <w:rPr>
                <w:rStyle w:val="Hyperlink"/>
                <w:rFonts w:cs="Arial"/>
                <w:noProof/>
              </w:rPr>
              <w:t>7.</w:t>
            </w:r>
            <w:r w:rsidR="002B493F">
              <w:rPr>
                <w:rFonts w:asciiTheme="minorHAnsi" w:eastAsiaTheme="minorEastAsia" w:hAnsiTheme="minorHAnsi" w:cstheme="minorBidi"/>
                <w:noProof/>
                <w:szCs w:val="22"/>
                <w:lang w:eastAsia="en-GB"/>
              </w:rPr>
              <w:tab/>
            </w:r>
            <w:r w:rsidR="002B493F" w:rsidRPr="0035007D">
              <w:rPr>
                <w:rStyle w:val="Hyperlink"/>
                <w:rFonts w:cs="Arial"/>
                <w:noProof/>
              </w:rPr>
              <w:t>Managing the Decant</w:t>
            </w:r>
            <w:r w:rsidR="002B493F">
              <w:rPr>
                <w:noProof/>
                <w:webHidden/>
              </w:rPr>
              <w:tab/>
            </w:r>
            <w:r w:rsidR="002B493F">
              <w:rPr>
                <w:noProof/>
                <w:webHidden/>
              </w:rPr>
              <w:fldChar w:fldCharType="begin"/>
            </w:r>
            <w:r w:rsidR="002B493F">
              <w:rPr>
                <w:noProof/>
                <w:webHidden/>
              </w:rPr>
              <w:instrText xml:space="preserve"> PAGEREF _Toc98408440 \h </w:instrText>
            </w:r>
            <w:r w:rsidR="002B493F">
              <w:rPr>
                <w:noProof/>
                <w:webHidden/>
              </w:rPr>
            </w:r>
            <w:r w:rsidR="002B493F">
              <w:rPr>
                <w:noProof/>
                <w:webHidden/>
              </w:rPr>
              <w:fldChar w:fldCharType="separate"/>
            </w:r>
            <w:r w:rsidR="002B493F">
              <w:rPr>
                <w:noProof/>
                <w:webHidden/>
              </w:rPr>
              <w:t>4</w:t>
            </w:r>
            <w:r w:rsidR="002B493F">
              <w:rPr>
                <w:noProof/>
                <w:webHidden/>
              </w:rPr>
              <w:fldChar w:fldCharType="end"/>
            </w:r>
          </w:hyperlink>
        </w:p>
        <w:p w14:paraId="62498BB9" w14:textId="25A9FAF4" w:rsidR="002B493F" w:rsidRDefault="002705DD" w:rsidP="00AD01AD">
          <w:pPr>
            <w:pStyle w:val="TOC2"/>
            <w:rPr>
              <w:rFonts w:asciiTheme="minorHAnsi" w:eastAsiaTheme="minorEastAsia" w:hAnsiTheme="minorHAnsi" w:cstheme="minorBidi"/>
              <w:noProof/>
              <w:szCs w:val="22"/>
              <w:lang w:eastAsia="en-GB"/>
            </w:rPr>
          </w:pPr>
          <w:hyperlink w:anchor="_Toc98408441" w:history="1">
            <w:r w:rsidR="002B493F" w:rsidRPr="0035007D">
              <w:rPr>
                <w:rStyle w:val="Hyperlink"/>
                <w:rFonts w:cs="Arial"/>
                <w:noProof/>
              </w:rPr>
              <w:t>8.</w:t>
            </w:r>
            <w:r w:rsidR="002B493F">
              <w:rPr>
                <w:rFonts w:asciiTheme="minorHAnsi" w:eastAsiaTheme="minorEastAsia" w:hAnsiTheme="minorHAnsi" w:cstheme="minorBidi"/>
                <w:noProof/>
                <w:szCs w:val="22"/>
                <w:lang w:eastAsia="en-GB"/>
              </w:rPr>
              <w:tab/>
            </w:r>
            <w:r w:rsidR="002B493F" w:rsidRPr="0035007D">
              <w:rPr>
                <w:rStyle w:val="Hyperlink"/>
                <w:rFonts w:cs="Arial"/>
                <w:noProof/>
              </w:rPr>
              <w:t>Where a Tenant Does not wish to be Decanted or a Decant is impractical</w:t>
            </w:r>
            <w:r w:rsidR="002B493F">
              <w:rPr>
                <w:noProof/>
                <w:webHidden/>
              </w:rPr>
              <w:tab/>
            </w:r>
            <w:r w:rsidR="002B493F">
              <w:rPr>
                <w:noProof/>
                <w:webHidden/>
              </w:rPr>
              <w:fldChar w:fldCharType="begin"/>
            </w:r>
            <w:r w:rsidR="002B493F">
              <w:rPr>
                <w:noProof/>
                <w:webHidden/>
              </w:rPr>
              <w:instrText xml:space="preserve"> PAGEREF _Toc98408441 \h </w:instrText>
            </w:r>
            <w:r w:rsidR="002B493F">
              <w:rPr>
                <w:noProof/>
                <w:webHidden/>
              </w:rPr>
            </w:r>
            <w:r w:rsidR="002B493F">
              <w:rPr>
                <w:noProof/>
                <w:webHidden/>
              </w:rPr>
              <w:fldChar w:fldCharType="separate"/>
            </w:r>
            <w:r w:rsidR="002B493F">
              <w:rPr>
                <w:noProof/>
                <w:webHidden/>
              </w:rPr>
              <w:t>5</w:t>
            </w:r>
            <w:r w:rsidR="002B493F">
              <w:rPr>
                <w:noProof/>
                <w:webHidden/>
              </w:rPr>
              <w:fldChar w:fldCharType="end"/>
            </w:r>
          </w:hyperlink>
        </w:p>
        <w:p w14:paraId="3A822959" w14:textId="77151E6B" w:rsidR="002B493F" w:rsidRDefault="002705DD" w:rsidP="00AD01AD">
          <w:pPr>
            <w:pStyle w:val="TOC2"/>
            <w:rPr>
              <w:rFonts w:asciiTheme="minorHAnsi" w:eastAsiaTheme="minorEastAsia" w:hAnsiTheme="minorHAnsi" w:cstheme="minorBidi"/>
              <w:noProof/>
              <w:szCs w:val="22"/>
              <w:lang w:eastAsia="en-GB"/>
            </w:rPr>
          </w:pPr>
          <w:hyperlink w:anchor="_Toc98408442" w:history="1">
            <w:r w:rsidR="002B493F" w:rsidRPr="0035007D">
              <w:rPr>
                <w:rStyle w:val="Hyperlink"/>
                <w:rFonts w:cs="Arial"/>
                <w:noProof/>
              </w:rPr>
              <w:t>9.</w:t>
            </w:r>
            <w:r w:rsidR="002B493F">
              <w:rPr>
                <w:rFonts w:asciiTheme="minorHAnsi" w:eastAsiaTheme="minorEastAsia" w:hAnsiTheme="minorHAnsi" w:cstheme="minorBidi"/>
                <w:noProof/>
                <w:szCs w:val="22"/>
                <w:lang w:eastAsia="en-GB"/>
              </w:rPr>
              <w:tab/>
            </w:r>
            <w:r w:rsidR="002B493F" w:rsidRPr="0035007D">
              <w:rPr>
                <w:rStyle w:val="Hyperlink"/>
                <w:rFonts w:cs="Arial"/>
                <w:noProof/>
              </w:rPr>
              <w:t>Facilitating a Permanent Move rather than a decant</w:t>
            </w:r>
            <w:r w:rsidR="002B493F">
              <w:rPr>
                <w:noProof/>
                <w:webHidden/>
              </w:rPr>
              <w:tab/>
            </w:r>
            <w:r w:rsidR="002B493F">
              <w:rPr>
                <w:noProof/>
                <w:webHidden/>
              </w:rPr>
              <w:fldChar w:fldCharType="begin"/>
            </w:r>
            <w:r w:rsidR="002B493F">
              <w:rPr>
                <w:noProof/>
                <w:webHidden/>
              </w:rPr>
              <w:instrText xml:space="preserve"> PAGEREF _Toc98408442 \h </w:instrText>
            </w:r>
            <w:r w:rsidR="002B493F">
              <w:rPr>
                <w:noProof/>
                <w:webHidden/>
              </w:rPr>
            </w:r>
            <w:r w:rsidR="002B493F">
              <w:rPr>
                <w:noProof/>
                <w:webHidden/>
              </w:rPr>
              <w:fldChar w:fldCharType="separate"/>
            </w:r>
            <w:r w:rsidR="002B493F">
              <w:rPr>
                <w:noProof/>
                <w:webHidden/>
              </w:rPr>
              <w:t>5</w:t>
            </w:r>
            <w:r w:rsidR="002B493F">
              <w:rPr>
                <w:noProof/>
                <w:webHidden/>
              </w:rPr>
              <w:fldChar w:fldCharType="end"/>
            </w:r>
          </w:hyperlink>
        </w:p>
        <w:p w14:paraId="2E791FD0" w14:textId="1C693CEC" w:rsidR="002B493F" w:rsidRDefault="002705DD" w:rsidP="00AD01AD">
          <w:pPr>
            <w:pStyle w:val="TOC2"/>
            <w:rPr>
              <w:rFonts w:asciiTheme="minorHAnsi" w:eastAsiaTheme="minorEastAsia" w:hAnsiTheme="minorHAnsi" w:cstheme="minorBidi"/>
              <w:noProof/>
              <w:szCs w:val="22"/>
              <w:lang w:eastAsia="en-GB"/>
            </w:rPr>
          </w:pPr>
          <w:hyperlink w:anchor="_Toc98408443" w:history="1">
            <w:r w:rsidR="002B493F" w:rsidRPr="0035007D">
              <w:rPr>
                <w:rStyle w:val="Hyperlink"/>
                <w:rFonts w:cs="Arial"/>
                <w:noProof/>
              </w:rPr>
              <w:t>10.</w:t>
            </w:r>
            <w:r w:rsidR="002B493F">
              <w:rPr>
                <w:rFonts w:asciiTheme="minorHAnsi" w:eastAsiaTheme="minorEastAsia" w:hAnsiTheme="minorHAnsi" w:cstheme="minorBidi"/>
                <w:noProof/>
                <w:szCs w:val="22"/>
                <w:lang w:eastAsia="en-GB"/>
              </w:rPr>
              <w:tab/>
            </w:r>
            <w:r w:rsidR="002B493F" w:rsidRPr="0035007D">
              <w:rPr>
                <w:rStyle w:val="Hyperlink"/>
                <w:rFonts w:cs="Arial"/>
                <w:noProof/>
              </w:rPr>
              <w:t>Types of Decant</w:t>
            </w:r>
            <w:r w:rsidR="002B493F">
              <w:rPr>
                <w:noProof/>
                <w:webHidden/>
              </w:rPr>
              <w:tab/>
            </w:r>
            <w:r w:rsidR="002B493F">
              <w:rPr>
                <w:noProof/>
                <w:webHidden/>
              </w:rPr>
              <w:fldChar w:fldCharType="begin"/>
            </w:r>
            <w:r w:rsidR="002B493F">
              <w:rPr>
                <w:noProof/>
                <w:webHidden/>
              </w:rPr>
              <w:instrText xml:space="preserve"> PAGEREF _Toc98408443 \h </w:instrText>
            </w:r>
            <w:r w:rsidR="002B493F">
              <w:rPr>
                <w:noProof/>
                <w:webHidden/>
              </w:rPr>
            </w:r>
            <w:r w:rsidR="002B493F">
              <w:rPr>
                <w:noProof/>
                <w:webHidden/>
              </w:rPr>
              <w:fldChar w:fldCharType="separate"/>
            </w:r>
            <w:r w:rsidR="002B493F">
              <w:rPr>
                <w:noProof/>
                <w:webHidden/>
              </w:rPr>
              <w:t>5</w:t>
            </w:r>
            <w:r w:rsidR="002B493F">
              <w:rPr>
                <w:noProof/>
                <w:webHidden/>
              </w:rPr>
              <w:fldChar w:fldCharType="end"/>
            </w:r>
          </w:hyperlink>
        </w:p>
        <w:p w14:paraId="77C6384A" w14:textId="58BBA1C8" w:rsidR="002B493F" w:rsidRDefault="002705DD" w:rsidP="00AD01AD">
          <w:pPr>
            <w:pStyle w:val="TOC2"/>
            <w:rPr>
              <w:rFonts w:asciiTheme="minorHAnsi" w:eastAsiaTheme="minorEastAsia" w:hAnsiTheme="minorHAnsi" w:cstheme="minorBidi"/>
              <w:noProof/>
              <w:szCs w:val="22"/>
              <w:lang w:eastAsia="en-GB"/>
            </w:rPr>
          </w:pPr>
          <w:hyperlink w:anchor="_Toc98408444" w:history="1">
            <w:r w:rsidR="002B493F" w:rsidRPr="0035007D">
              <w:rPr>
                <w:rStyle w:val="Hyperlink"/>
                <w:rFonts w:cs="Arial"/>
                <w:noProof/>
              </w:rPr>
              <w:t>11.</w:t>
            </w:r>
            <w:r w:rsidR="002B493F">
              <w:rPr>
                <w:rFonts w:asciiTheme="minorHAnsi" w:eastAsiaTheme="minorEastAsia" w:hAnsiTheme="minorHAnsi" w:cstheme="minorBidi"/>
                <w:noProof/>
                <w:szCs w:val="22"/>
                <w:lang w:eastAsia="en-GB"/>
              </w:rPr>
              <w:tab/>
            </w:r>
            <w:r w:rsidR="002B493F" w:rsidRPr="0035007D">
              <w:rPr>
                <w:rStyle w:val="Hyperlink"/>
                <w:rFonts w:cs="Arial"/>
                <w:noProof/>
              </w:rPr>
              <w:t>Compensation Payments</w:t>
            </w:r>
            <w:r w:rsidR="002B493F">
              <w:rPr>
                <w:noProof/>
                <w:webHidden/>
              </w:rPr>
              <w:tab/>
            </w:r>
            <w:r w:rsidR="002B493F">
              <w:rPr>
                <w:noProof/>
                <w:webHidden/>
              </w:rPr>
              <w:fldChar w:fldCharType="begin"/>
            </w:r>
            <w:r w:rsidR="002B493F">
              <w:rPr>
                <w:noProof/>
                <w:webHidden/>
              </w:rPr>
              <w:instrText xml:space="preserve"> PAGEREF _Toc98408444 \h </w:instrText>
            </w:r>
            <w:r w:rsidR="002B493F">
              <w:rPr>
                <w:noProof/>
                <w:webHidden/>
              </w:rPr>
            </w:r>
            <w:r w:rsidR="002B493F">
              <w:rPr>
                <w:noProof/>
                <w:webHidden/>
              </w:rPr>
              <w:fldChar w:fldCharType="separate"/>
            </w:r>
            <w:r w:rsidR="002B493F">
              <w:rPr>
                <w:noProof/>
                <w:webHidden/>
              </w:rPr>
              <w:t>6</w:t>
            </w:r>
            <w:r w:rsidR="002B493F">
              <w:rPr>
                <w:noProof/>
                <w:webHidden/>
              </w:rPr>
              <w:fldChar w:fldCharType="end"/>
            </w:r>
          </w:hyperlink>
        </w:p>
        <w:p w14:paraId="0A6A64E6" w14:textId="55BE680B" w:rsidR="002B493F" w:rsidRDefault="002705DD" w:rsidP="00AD01AD">
          <w:pPr>
            <w:pStyle w:val="TOC2"/>
            <w:rPr>
              <w:rFonts w:asciiTheme="minorHAnsi" w:eastAsiaTheme="minorEastAsia" w:hAnsiTheme="minorHAnsi" w:cstheme="minorBidi"/>
              <w:noProof/>
              <w:szCs w:val="22"/>
              <w:lang w:eastAsia="en-GB"/>
            </w:rPr>
          </w:pPr>
          <w:hyperlink w:anchor="_Toc98408445" w:history="1">
            <w:r w:rsidR="002B493F" w:rsidRPr="0035007D">
              <w:rPr>
                <w:rStyle w:val="Hyperlink"/>
                <w:rFonts w:cs="Arial"/>
                <w:noProof/>
              </w:rPr>
              <w:t xml:space="preserve">12.   </w:t>
            </w:r>
            <w:r w:rsidR="002B493F">
              <w:rPr>
                <w:rFonts w:asciiTheme="minorHAnsi" w:eastAsiaTheme="minorEastAsia" w:hAnsiTheme="minorHAnsi" w:cstheme="minorBidi"/>
                <w:noProof/>
                <w:szCs w:val="22"/>
                <w:lang w:eastAsia="en-GB"/>
              </w:rPr>
              <w:tab/>
            </w:r>
            <w:r w:rsidR="002B493F" w:rsidRPr="0035007D">
              <w:rPr>
                <w:rStyle w:val="Hyperlink"/>
                <w:rFonts w:cs="Arial"/>
                <w:noProof/>
              </w:rPr>
              <w:t>Offer of Accommodation</w:t>
            </w:r>
            <w:r w:rsidR="002B493F">
              <w:rPr>
                <w:noProof/>
                <w:webHidden/>
              </w:rPr>
              <w:tab/>
            </w:r>
            <w:r w:rsidR="002B493F">
              <w:rPr>
                <w:noProof/>
                <w:webHidden/>
              </w:rPr>
              <w:fldChar w:fldCharType="begin"/>
            </w:r>
            <w:r w:rsidR="002B493F">
              <w:rPr>
                <w:noProof/>
                <w:webHidden/>
              </w:rPr>
              <w:instrText xml:space="preserve"> PAGEREF _Toc98408445 \h </w:instrText>
            </w:r>
            <w:r w:rsidR="002B493F">
              <w:rPr>
                <w:noProof/>
                <w:webHidden/>
              </w:rPr>
            </w:r>
            <w:r w:rsidR="002B493F">
              <w:rPr>
                <w:noProof/>
                <w:webHidden/>
              </w:rPr>
              <w:fldChar w:fldCharType="separate"/>
            </w:r>
            <w:r w:rsidR="002B493F">
              <w:rPr>
                <w:noProof/>
                <w:webHidden/>
              </w:rPr>
              <w:t>6</w:t>
            </w:r>
            <w:r w:rsidR="002B493F">
              <w:rPr>
                <w:noProof/>
                <w:webHidden/>
              </w:rPr>
              <w:fldChar w:fldCharType="end"/>
            </w:r>
          </w:hyperlink>
        </w:p>
        <w:p w14:paraId="2EAD8254" w14:textId="7541BD25" w:rsidR="002B493F" w:rsidRDefault="002705DD" w:rsidP="00AD01AD">
          <w:pPr>
            <w:pStyle w:val="TOC2"/>
            <w:rPr>
              <w:rFonts w:asciiTheme="minorHAnsi" w:eastAsiaTheme="minorEastAsia" w:hAnsiTheme="minorHAnsi" w:cstheme="minorBidi"/>
              <w:noProof/>
              <w:szCs w:val="22"/>
              <w:lang w:eastAsia="en-GB"/>
            </w:rPr>
          </w:pPr>
          <w:hyperlink w:anchor="_Toc98408446" w:history="1">
            <w:r w:rsidR="002B493F" w:rsidRPr="0035007D">
              <w:rPr>
                <w:rStyle w:val="Hyperlink"/>
                <w:rFonts w:cs="Arial"/>
                <w:noProof/>
              </w:rPr>
              <w:t xml:space="preserve">14. </w:t>
            </w:r>
            <w:r w:rsidR="002B493F">
              <w:rPr>
                <w:rFonts w:asciiTheme="minorHAnsi" w:eastAsiaTheme="minorEastAsia" w:hAnsiTheme="minorHAnsi" w:cstheme="minorBidi"/>
                <w:noProof/>
                <w:szCs w:val="22"/>
                <w:lang w:eastAsia="en-GB"/>
              </w:rPr>
              <w:tab/>
            </w:r>
            <w:r w:rsidR="002B493F" w:rsidRPr="0035007D">
              <w:rPr>
                <w:rStyle w:val="Hyperlink"/>
                <w:rFonts w:cs="Arial"/>
                <w:noProof/>
              </w:rPr>
              <w:t>Equality and Diversity</w:t>
            </w:r>
            <w:r w:rsidR="002B493F">
              <w:rPr>
                <w:noProof/>
                <w:webHidden/>
              </w:rPr>
              <w:tab/>
            </w:r>
            <w:r w:rsidR="002B493F">
              <w:rPr>
                <w:noProof/>
                <w:webHidden/>
              </w:rPr>
              <w:fldChar w:fldCharType="begin"/>
            </w:r>
            <w:r w:rsidR="002B493F">
              <w:rPr>
                <w:noProof/>
                <w:webHidden/>
              </w:rPr>
              <w:instrText xml:space="preserve"> PAGEREF _Toc98408446 \h </w:instrText>
            </w:r>
            <w:r w:rsidR="002B493F">
              <w:rPr>
                <w:noProof/>
                <w:webHidden/>
              </w:rPr>
            </w:r>
            <w:r w:rsidR="002B493F">
              <w:rPr>
                <w:noProof/>
                <w:webHidden/>
              </w:rPr>
              <w:fldChar w:fldCharType="separate"/>
            </w:r>
            <w:r w:rsidR="002B493F">
              <w:rPr>
                <w:noProof/>
                <w:webHidden/>
              </w:rPr>
              <w:t>7</w:t>
            </w:r>
            <w:r w:rsidR="002B493F">
              <w:rPr>
                <w:noProof/>
                <w:webHidden/>
              </w:rPr>
              <w:fldChar w:fldCharType="end"/>
            </w:r>
          </w:hyperlink>
        </w:p>
        <w:p w14:paraId="516DA1E3" w14:textId="629A7B02" w:rsidR="002B493F" w:rsidRDefault="002705DD" w:rsidP="00AD01AD">
          <w:pPr>
            <w:pStyle w:val="TOC2"/>
            <w:rPr>
              <w:rFonts w:asciiTheme="minorHAnsi" w:eastAsiaTheme="minorEastAsia" w:hAnsiTheme="minorHAnsi" w:cstheme="minorBidi"/>
              <w:noProof/>
              <w:szCs w:val="22"/>
              <w:lang w:eastAsia="en-GB"/>
            </w:rPr>
          </w:pPr>
          <w:hyperlink w:anchor="_Toc98408447" w:history="1">
            <w:r w:rsidR="002B493F" w:rsidRPr="0035007D">
              <w:rPr>
                <w:rStyle w:val="Hyperlink"/>
                <w:rFonts w:cs="Arial"/>
                <w:noProof/>
              </w:rPr>
              <w:t>15.</w:t>
            </w:r>
            <w:r w:rsidR="002B493F">
              <w:rPr>
                <w:rFonts w:asciiTheme="minorHAnsi" w:eastAsiaTheme="minorEastAsia" w:hAnsiTheme="minorHAnsi" w:cstheme="minorBidi"/>
                <w:noProof/>
                <w:szCs w:val="22"/>
                <w:lang w:eastAsia="en-GB"/>
              </w:rPr>
              <w:tab/>
            </w:r>
            <w:r w:rsidR="002B493F" w:rsidRPr="0035007D">
              <w:rPr>
                <w:rStyle w:val="Hyperlink"/>
                <w:rFonts w:cs="Arial"/>
                <w:noProof/>
              </w:rPr>
              <w:t>Implementation and Monitoring</w:t>
            </w:r>
            <w:r w:rsidR="002B493F">
              <w:rPr>
                <w:noProof/>
                <w:webHidden/>
              </w:rPr>
              <w:tab/>
            </w:r>
            <w:r w:rsidR="002B493F">
              <w:rPr>
                <w:noProof/>
                <w:webHidden/>
              </w:rPr>
              <w:fldChar w:fldCharType="begin"/>
            </w:r>
            <w:r w:rsidR="002B493F">
              <w:rPr>
                <w:noProof/>
                <w:webHidden/>
              </w:rPr>
              <w:instrText xml:space="preserve"> PAGEREF _Toc98408447 \h </w:instrText>
            </w:r>
            <w:r w:rsidR="002B493F">
              <w:rPr>
                <w:noProof/>
                <w:webHidden/>
              </w:rPr>
            </w:r>
            <w:r w:rsidR="002B493F">
              <w:rPr>
                <w:noProof/>
                <w:webHidden/>
              </w:rPr>
              <w:fldChar w:fldCharType="separate"/>
            </w:r>
            <w:r w:rsidR="002B493F">
              <w:rPr>
                <w:noProof/>
                <w:webHidden/>
              </w:rPr>
              <w:t>7</w:t>
            </w:r>
            <w:r w:rsidR="002B493F">
              <w:rPr>
                <w:noProof/>
                <w:webHidden/>
              </w:rPr>
              <w:fldChar w:fldCharType="end"/>
            </w:r>
          </w:hyperlink>
        </w:p>
        <w:p w14:paraId="75E86557" w14:textId="26E39027" w:rsidR="002B493F" w:rsidRDefault="002705DD" w:rsidP="00AD01AD">
          <w:pPr>
            <w:pStyle w:val="TOC2"/>
            <w:rPr>
              <w:rFonts w:asciiTheme="minorHAnsi" w:eastAsiaTheme="minorEastAsia" w:hAnsiTheme="minorHAnsi" w:cstheme="minorBidi"/>
              <w:noProof/>
              <w:szCs w:val="22"/>
              <w:lang w:eastAsia="en-GB"/>
            </w:rPr>
          </w:pPr>
          <w:hyperlink w:anchor="_Toc98408448" w:history="1">
            <w:r w:rsidR="002B493F" w:rsidRPr="0035007D">
              <w:rPr>
                <w:rStyle w:val="Hyperlink"/>
                <w:rFonts w:cs="Arial"/>
                <w:noProof/>
              </w:rPr>
              <w:t>16.</w:t>
            </w:r>
            <w:r w:rsidR="002B493F">
              <w:rPr>
                <w:rFonts w:asciiTheme="minorHAnsi" w:eastAsiaTheme="minorEastAsia" w:hAnsiTheme="minorHAnsi" w:cstheme="minorBidi"/>
                <w:noProof/>
                <w:szCs w:val="22"/>
                <w:lang w:eastAsia="en-GB"/>
              </w:rPr>
              <w:tab/>
            </w:r>
            <w:r w:rsidR="002B493F" w:rsidRPr="0035007D">
              <w:rPr>
                <w:rStyle w:val="Hyperlink"/>
                <w:rFonts w:cs="Arial"/>
                <w:noProof/>
              </w:rPr>
              <w:t>KPIs</w:t>
            </w:r>
            <w:r w:rsidR="002B493F">
              <w:rPr>
                <w:noProof/>
                <w:webHidden/>
              </w:rPr>
              <w:tab/>
            </w:r>
            <w:r w:rsidR="002B493F">
              <w:rPr>
                <w:noProof/>
                <w:webHidden/>
              </w:rPr>
              <w:fldChar w:fldCharType="begin"/>
            </w:r>
            <w:r w:rsidR="002B493F">
              <w:rPr>
                <w:noProof/>
                <w:webHidden/>
              </w:rPr>
              <w:instrText xml:space="preserve"> PAGEREF _Toc98408448 \h </w:instrText>
            </w:r>
            <w:r w:rsidR="002B493F">
              <w:rPr>
                <w:noProof/>
                <w:webHidden/>
              </w:rPr>
            </w:r>
            <w:r w:rsidR="002B493F">
              <w:rPr>
                <w:noProof/>
                <w:webHidden/>
              </w:rPr>
              <w:fldChar w:fldCharType="separate"/>
            </w:r>
            <w:r w:rsidR="002B493F">
              <w:rPr>
                <w:noProof/>
                <w:webHidden/>
              </w:rPr>
              <w:t>7</w:t>
            </w:r>
            <w:r w:rsidR="002B493F">
              <w:rPr>
                <w:noProof/>
                <w:webHidden/>
              </w:rPr>
              <w:fldChar w:fldCharType="end"/>
            </w:r>
          </w:hyperlink>
        </w:p>
        <w:p w14:paraId="6F84BFAD" w14:textId="154B7FF1" w:rsidR="002B493F" w:rsidRDefault="002705DD" w:rsidP="00AD01AD">
          <w:pPr>
            <w:pStyle w:val="TOC2"/>
            <w:rPr>
              <w:rFonts w:asciiTheme="minorHAnsi" w:eastAsiaTheme="minorEastAsia" w:hAnsiTheme="minorHAnsi" w:cstheme="minorBidi"/>
              <w:noProof/>
              <w:szCs w:val="22"/>
              <w:lang w:eastAsia="en-GB"/>
            </w:rPr>
          </w:pPr>
          <w:hyperlink w:anchor="_Toc98408449" w:history="1">
            <w:r w:rsidR="002B493F" w:rsidRPr="0035007D">
              <w:rPr>
                <w:rStyle w:val="Hyperlink"/>
                <w:rFonts w:cs="Arial"/>
                <w:noProof/>
              </w:rPr>
              <w:t>17.</w:t>
            </w:r>
            <w:r w:rsidR="002B493F">
              <w:rPr>
                <w:rFonts w:asciiTheme="minorHAnsi" w:eastAsiaTheme="minorEastAsia" w:hAnsiTheme="minorHAnsi" w:cstheme="minorBidi"/>
                <w:noProof/>
                <w:szCs w:val="22"/>
                <w:lang w:eastAsia="en-GB"/>
              </w:rPr>
              <w:tab/>
            </w:r>
            <w:r w:rsidR="002B493F" w:rsidRPr="0035007D">
              <w:rPr>
                <w:rStyle w:val="Hyperlink"/>
                <w:rFonts w:cs="Arial"/>
                <w:noProof/>
              </w:rPr>
              <w:t>Right to Review</w:t>
            </w:r>
            <w:r w:rsidR="002B493F">
              <w:rPr>
                <w:noProof/>
                <w:webHidden/>
              </w:rPr>
              <w:tab/>
            </w:r>
            <w:r w:rsidR="002B493F">
              <w:rPr>
                <w:noProof/>
                <w:webHidden/>
              </w:rPr>
              <w:fldChar w:fldCharType="begin"/>
            </w:r>
            <w:r w:rsidR="002B493F">
              <w:rPr>
                <w:noProof/>
                <w:webHidden/>
              </w:rPr>
              <w:instrText xml:space="preserve"> PAGEREF _Toc98408449 \h </w:instrText>
            </w:r>
            <w:r w:rsidR="002B493F">
              <w:rPr>
                <w:noProof/>
                <w:webHidden/>
              </w:rPr>
            </w:r>
            <w:r w:rsidR="002B493F">
              <w:rPr>
                <w:noProof/>
                <w:webHidden/>
              </w:rPr>
              <w:fldChar w:fldCharType="separate"/>
            </w:r>
            <w:r w:rsidR="002B493F">
              <w:rPr>
                <w:noProof/>
                <w:webHidden/>
              </w:rPr>
              <w:t>8</w:t>
            </w:r>
            <w:r w:rsidR="002B493F">
              <w:rPr>
                <w:noProof/>
                <w:webHidden/>
              </w:rPr>
              <w:fldChar w:fldCharType="end"/>
            </w:r>
          </w:hyperlink>
        </w:p>
        <w:p w14:paraId="52BA4077" w14:textId="1AA00087" w:rsidR="002B493F" w:rsidRDefault="002705DD" w:rsidP="00AD01AD">
          <w:pPr>
            <w:pStyle w:val="TOC2"/>
            <w:rPr>
              <w:rFonts w:asciiTheme="minorHAnsi" w:eastAsiaTheme="minorEastAsia" w:hAnsiTheme="minorHAnsi" w:cstheme="minorBidi"/>
              <w:noProof/>
              <w:szCs w:val="22"/>
              <w:lang w:eastAsia="en-GB"/>
            </w:rPr>
          </w:pPr>
          <w:hyperlink w:anchor="_Toc98408450" w:history="1">
            <w:r w:rsidR="002B493F" w:rsidRPr="0035007D">
              <w:rPr>
                <w:rStyle w:val="Hyperlink"/>
                <w:rFonts w:cs="Arial"/>
                <w:noProof/>
              </w:rPr>
              <w:t>Figure A- Direct Costs to be met by Council</w:t>
            </w:r>
            <w:r w:rsidR="002B493F">
              <w:rPr>
                <w:noProof/>
                <w:webHidden/>
              </w:rPr>
              <w:tab/>
            </w:r>
            <w:r w:rsidR="002B493F">
              <w:rPr>
                <w:noProof/>
                <w:webHidden/>
              </w:rPr>
              <w:fldChar w:fldCharType="begin"/>
            </w:r>
            <w:r w:rsidR="002B493F">
              <w:rPr>
                <w:noProof/>
                <w:webHidden/>
              </w:rPr>
              <w:instrText xml:space="preserve"> PAGEREF _Toc98408450 \h </w:instrText>
            </w:r>
            <w:r w:rsidR="002B493F">
              <w:rPr>
                <w:noProof/>
                <w:webHidden/>
              </w:rPr>
            </w:r>
            <w:r w:rsidR="002B493F">
              <w:rPr>
                <w:noProof/>
                <w:webHidden/>
              </w:rPr>
              <w:fldChar w:fldCharType="separate"/>
            </w:r>
            <w:r w:rsidR="002B493F">
              <w:rPr>
                <w:noProof/>
                <w:webHidden/>
              </w:rPr>
              <w:t>9</w:t>
            </w:r>
            <w:r w:rsidR="002B493F">
              <w:rPr>
                <w:noProof/>
                <w:webHidden/>
              </w:rPr>
              <w:fldChar w:fldCharType="end"/>
            </w:r>
          </w:hyperlink>
        </w:p>
        <w:p w14:paraId="67A97FFD" w14:textId="4E47EF5E" w:rsidR="009939E2" w:rsidRPr="009939E2" w:rsidRDefault="009939E2" w:rsidP="009939E2">
          <w:pPr>
            <w:rPr>
              <w:rFonts w:cs="Arial"/>
            </w:rPr>
          </w:pPr>
          <w:r w:rsidRPr="009939E2">
            <w:rPr>
              <w:rFonts w:cs="Arial"/>
              <w:b/>
              <w:bCs/>
              <w:noProof/>
            </w:rPr>
            <w:fldChar w:fldCharType="end"/>
          </w:r>
        </w:p>
      </w:sdtContent>
    </w:sdt>
    <w:p w14:paraId="6C9FF489" w14:textId="77777777" w:rsidR="009939E2" w:rsidRPr="009939E2" w:rsidRDefault="009939E2" w:rsidP="009939E2">
      <w:pPr>
        <w:spacing w:after="200" w:line="276" w:lineRule="auto"/>
        <w:rPr>
          <w:rFonts w:cs="Arial"/>
        </w:rPr>
      </w:pPr>
      <w:r w:rsidRPr="009939E2">
        <w:rPr>
          <w:rFonts w:cs="Arial"/>
        </w:rPr>
        <w:br w:type="page"/>
      </w:r>
    </w:p>
    <w:p w14:paraId="4F750DA0" w14:textId="77777777" w:rsidR="009939E2" w:rsidRPr="009939E2" w:rsidRDefault="009939E2" w:rsidP="009939E2">
      <w:pPr>
        <w:pStyle w:val="BodyText"/>
        <w:ind w:left="405"/>
        <w:jc w:val="left"/>
        <w:rPr>
          <w:rFonts w:ascii="Arial" w:hAnsi="Arial" w:cs="Arial"/>
          <w:sz w:val="24"/>
        </w:rPr>
      </w:pPr>
    </w:p>
    <w:p w14:paraId="589895A8" w14:textId="77777777" w:rsidR="009939E2" w:rsidRPr="009939E2" w:rsidRDefault="009939E2" w:rsidP="009939E2">
      <w:pPr>
        <w:pStyle w:val="Heading2"/>
        <w:rPr>
          <w:rFonts w:ascii="Arial" w:hAnsi="Arial" w:cs="Arial"/>
        </w:rPr>
      </w:pPr>
      <w:bookmarkStart w:id="1" w:name="_Toc98408434"/>
      <w:r w:rsidRPr="009939E2">
        <w:rPr>
          <w:rFonts w:ascii="Arial" w:hAnsi="Arial" w:cs="Arial"/>
        </w:rPr>
        <w:t>1.     Reasons for Policy</w:t>
      </w:r>
      <w:bookmarkEnd w:id="1"/>
    </w:p>
    <w:p w14:paraId="70B22266" w14:textId="77777777" w:rsidR="009939E2" w:rsidRPr="009939E2" w:rsidRDefault="009939E2" w:rsidP="009939E2">
      <w:pPr>
        <w:pStyle w:val="BodyText"/>
        <w:jc w:val="left"/>
        <w:rPr>
          <w:rFonts w:ascii="Arial" w:hAnsi="Arial" w:cs="Arial"/>
          <w:b w:val="0"/>
          <w:bCs w:val="0"/>
          <w:sz w:val="24"/>
        </w:rPr>
      </w:pPr>
    </w:p>
    <w:p w14:paraId="7CDE911F" w14:textId="77777777" w:rsidR="009939E2" w:rsidRPr="009939E2" w:rsidRDefault="009939E2" w:rsidP="009939E2">
      <w:pPr>
        <w:pStyle w:val="BodyText"/>
        <w:numPr>
          <w:ilvl w:val="1"/>
          <w:numId w:val="4"/>
        </w:numPr>
        <w:jc w:val="left"/>
        <w:rPr>
          <w:rFonts w:ascii="Arial" w:hAnsi="Arial" w:cs="Arial"/>
          <w:b w:val="0"/>
          <w:bCs w:val="0"/>
          <w:sz w:val="22"/>
          <w:szCs w:val="22"/>
        </w:rPr>
      </w:pPr>
      <w:r w:rsidRPr="009939E2">
        <w:rPr>
          <w:rFonts w:ascii="Arial" w:hAnsi="Arial" w:cs="Arial"/>
          <w:b w:val="0"/>
          <w:bCs w:val="0"/>
          <w:sz w:val="22"/>
          <w:szCs w:val="22"/>
        </w:rPr>
        <w:t xml:space="preserve">This policy describes the Council’s arrangements for decanting tenants from their homes when major repairs or other remedial works are necessary. Decants are usually necessary when a property needs major work or needs to be refurbished or modernised and the work cannot reasonably be done with the tenant in residence.  The policy explains when a decant will take place, the circumstances where a decant can be avoided at the tenants’ request and the level of compensation that will be paid to tenants when they are decanted. </w:t>
      </w:r>
    </w:p>
    <w:p w14:paraId="18DB3C1A" w14:textId="77777777" w:rsidR="009939E2" w:rsidRPr="002B493F" w:rsidRDefault="009939E2" w:rsidP="002B493F">
      <w:pPr>
        <w:rPr>
          <w:rFonts w:cs="Arial"/>
          <w:b/>
          <w:bCs/>
          <w:szCs w:val="22"/>
        </w:rPr>
      </w:pPr>
    </w:p>
    <w:p w14:paraId="2D9D7495" w14:textId="77777777" w:rsidR="009939E2" w:rsidRPr="009939E2" w:rsidRDefault="009939E2" w:rsidP="009939E2">
      <w:pPr>
        <w:pStyle w:val="BodyText"/>
        <w:numPr>
          <w:ilvl w:val="1"/>
          <w:numId w:val="4"/>
        </w:numPr>
        <w:jc w:val="left"/>
        <w:rPr>
          <w:rFonts w:ascii="Arial" w:hAnsi="Arial" w:cs="Arial"/>
          <w:b w:val="0"/>
          <w:bCs w:val="0"/>
          <w:sz w:val="22"/>
          <w:szCs w:val="22"/>
        </w:rPr>
      </w:pPr>
      <w:r w:rsidRPr="009939E2">
        <w:rPr>
          <w:rFonts w:ascii="Arial" w:hAnsi="Arial" w:cs="Arial"/>
          <w:b w:val="0"/>
          <w:bCs w:val="0"/>
          <w:sz w:val="22"/>
          <w:szCs w:val="22"/>
        </w:rPr>
        <w:t xml:space="preserve">A decant is temporary housing which is only offered where it is appropriate for the property to be vacated due to the extent of the works and/ or the individual circumstances of the tenant and/ or members of their household. </w:t>
      </w:r>
    </w:p>
    <w:p w14:paraId="0C8E53E2" w14:textId="77777777" w:rsidR="009939E2" w:rsidRPr="009939E2" w:rsidRDefault="009939E2" w:rsidP="009939E2">
      <w:pPr>
        <w:pStyle w:val="BodyText"/>
        <w:ind w:left="540"/>
        <w:jc w:val="left"/>
        <w:rPr>
          <w:rFonts w:ascii="Arial" w:hAnsi="Arial" w:cs="Arial"/>
          <w:b w:val="0"/>
          <w:bCs w:val="0"/>
          <w:sz w:val="22"/>
          <w:szCs w:val="22"/>
        </w:rPr>
      </w:pPr>
    </w:p>
    <w:p w14:paraId="4786E603" w14:textId="725076D1" w:rsidR="009939E2" w:rsidRDefault="009939E2" w:rsidP="002B493F">
      <w:pPr>
        <w:pStyle w:val="BodyText"/>
        <w:numPr>
          <w:ilvl w:val="1"/>
          <w:numId w:val="4"/>
        </w:numPr>
        <w:jc w:val="left"/>
        <w:rPr>
          <w:rFonts w:ascii="Arial" w:hAnsi="Arial" w:cs="Arial"/>
          <w:b w:val="0"/>
          <w:bCs w:val="0"/>
          <w:sz w:val="22"/>
          <w:szCs w:val="22"/>
        </w:rPr>
      </w:pPr>
      <w:r w:rsidRPr="009939E2">
        <w:rPr>
          <w:rFonts w:ascii="Arial" w:hAnsi="Arial" w:cs="Arial"/>
          <w:b w:val="0"/>
          <w:sz w:val="22"/>
          <w:szCs w:val="22"/>
        </w:rPr>
        <w:t>A decant is always a temporary move and tenants will return to their home once works are complete.</w:t>
      </w:r>
    </w:p>
    <w:p w14:paraId="72C3BC11" w14:textId="77777777" w:rsidR="002B493F" w:rsidRDefault="002B493F" w:rsidP="002B493F">
      <w:pPr>
        <w:pStyle w:val="ListParagraph"/>
        <w:rPr>
          <w:rFonts w:cs="Arial"/>
          <w:b/>
          <w:bCs/>
          <w:szCs w:val="22"/>
        </w:rPr>
      </w:pPr>
    </w:p>
    <w:p w14:paraId="13EB238B" w14:textId="77777777" w:rsidR="002B493F" w:rsidRPr="002B493F" w:rsidRDefault="002B493F" w:rsidP="002B493F">
      <w:pPr>
        <w:pStyle w:val="BodyText"/>
        <w:jc w:val="left"/>
        <w:rPr>
          <w:rFonts w:ascii="Arial" w:hAnsi="Arial" w:cs="Arial"/>
          <w:b w:val="0"/>
          <w:bCs w:val="0"/>
          <w:sz w:val="22"/>
          <w:szCs w:val="22"/>
        </w:rPr>
      </w:pPr>
    </w:p>
    <w:p w14:paraId="1D32D6A9" w14:textId="1FD222B8" w:rsidR="009939E2" w:rsidRPr="009939E2" w:rsidRDefault="009939E2" w:rsidP="009939E2">
      <w:pPr>
        <w:pStyle w:val="Heading2"/>
        <w:rPr>
          <w:rFonts w:ascii="Arial" w:hAnsi="Arial" w:cs="Arial"/>
        </w:rPr>
      </w:pPr>
      <w:bookmarkStart w:id="2" w:name="_Toc98408435"/>
      <w:r w:rsidRPr="009939E2">
        <w:rPr>
          <w:rFonts w:ascii="Arial" w:hAnsi="Arial" w:cs="Arial"/>
        </w:rPr>
        <w:t xml:space="preserve">2.    </w:t>
      </w:r>
      <w:r w:rsidR="002B493F">
        <w:rPr>
          <w:rFonts w:ascii="Arial" w:hAnsi="Arial" w:cs="Arial"/>
        </w:rPr>
        <w:t xml:space="preserve"> </w:t>
      </w:r>
      <w:r w:rsidRPr="009939E2">
        <w:rPr>
          <w:rFonts w:ascii="Arial" w:hAnsi="Arial" w:cs="Arial"/>
        </w:rPr>
        <w:t>Legislative Context</w:t>
      </w:r>
      <w:bookmarkEnd w:id="2"/>
    </w:p>
    <w:p w14:paraId="4261D581" w14:textId="77777777" w:rsidR="009939E2" w:rsidRPr="009939E2" w:rsidRDefault="009939E2" w:rsidP="009939E2">
      <w:pPr>
        <w:pStyle w:val="BodyText"/>
        <w:jc w:val="left"/>
        <w:rPr>
          <w:rFonts w:ascii="Arial" w:hAnsi="Arial" w:cs="Arial"/>
          <w:b w:val="0"/>
          <w:bCs w:val="0"/>
          <w:sz w:val="24"/>
        </w:rPr>
      </w:pPr>
    </w:p>
    <w:p w14:paraId="3E4893F9" w14:textId="77777777" w:rsidR="009939E2" w:rsidRPr="009939E2" w:rsidRDefault="009939E2" w:rsidP="00633DD7">
      <w:pPr>
        <w:pStyle w:val="Default"/>
        <w:ind w:left="567" w:hanging="567"/>
        <w:rPr>
          <w:rFonts w:ascii="Arial" w:hAnsi="Arial" w:cs="Arial"/>
          <w:sz w:val="22"/>
          <w:szCs w:val="22"/>
        </w:rPr>
      </w:pPr>
      <w:r w:rsidRPr="009939E2">
        <w:rPr>
          <w:rFonts w:ascii="Arial" w:hAnsi="Arial" w:cs="Arial"/>
        </w:rPr>
        <w:t xml:space="preserve">2.1 </w:t>
      </w:r>
      <w:r w:rsidRPr="009939E2">
        <w:rPr>
          <w:rFonts w:ascii="Arial" w:hAnsi="Arial" w:cs="Arial"/>
        </w:rPr>
        <w:tab/>
      </w:r>
      <w:r w:rsidRPr="009939E2">
        <w:rPr>
          <w:rFonts w:ascii="Arial" w:hAnsi="Arial" w:cs="Arial"/>
          <w:sz w:val="22"/>
          <w:szCs w:val="22"/>
        </w:rPr>
        <w:t xml:space="preserve">The legislation listed below will be taken into consideration when implementing this policy: </w:t>
      </w:r>
    </w:p>
    <w:p w14:paraId="016196B2" w14:textId="77777777" w:rsidR="009939E2" w:rsidRPr="009939E2" w:rsidRDefault="009939E2" w:rsidP="009939E2">
      <w:pPr>
        <w:pStyle w:val="Default"/>
        <w:rPr>
          <w:rFonts w:ascii="Arial" w:hAnsi="Arial" w:cs="Arial"/>
          <w:sz w:val="22"/>
          <w:szCs w:val="22"/>
        </w:rPr>
      </w:pPr>
    </w:p>
    <w:p w14:paraId="17DED8F9" w14:textId="77777777" w:rsidR="009939E2" w:rsidRPr="009939E2" w:rsidRDefault="009939E2" w:rsidP="009939E2">
      <w:pPr>
        <w:pStyle w:val="Default"/>
        <w:numPr>
          <w:ilvl w:val="0"/>
          <w:numId w:val="1"/>
        </w:numPr>
        <w:spacing w:after="80"/>
        <w:rPr>
          <w:rFonts w:ascii="Arial" w:hAnsi="Arial" w:cs="Arial"/>
          <w:sz w:val="22"/>
          <w:szCs w:val="22"/>
        </w:rPr>
      </w:pPr>
      <w:r w:rsidRPr="009939E2">
        <w:rPr>
          <w:rFonts w:ascii="Arial" w:hAnsi="Arial" w:cs="Arial"/>
          <w:sz w:val="22"/>
          <w:szCs w:val="22"/>
        </w:rPr>
        <w:t xml:space="preserve">Housing Act 1985 </w:t>
      </w:r>
    </w:p>
    <w:p w14:paraId="5B3685AC" w14:textId="77777777" w:rsidR="009939E2" w:rsidRPr="009939E2" w:rsidRDefault="009939E2" w:rsidP="009939E2">
      <w:pPr>
        <w:pStyle w:val="Default"/>
        <w:numPr>
          <w:ilvl w:val="0"/>
          <w:numId w:val="1"/>
        </w:numPr>
        <w:spacing w:after="80"/>
        <w:rPr>
          <w:rFonts w:ascii="Arial" w:hAnsi="Arial" w:cs="Arial"/>
          <w:sz w:val="22"/>
          <w:szCs w:val="22"/>
        </w:rPr>
      </w:pPr>
      <w:r w:rsidRPr="009939E2">
        <w:rPr>
          <w:rFonts w:ascii="Arial" w:hAnsi="Arial" w:cs="Arial"/>
          <w:sz w:val="22"/>
          <w:szCs w:val="22"/>
        </w:rPr>
        <w:t xml:space="preserve">Housing Act 1996 as </w:t>
      </w:r>
      <w:proofErr w:type="gramStart"/>
      <w:r w:rsidRPr="009939E2">
        <w:rPr>
          <w:rFonts w:ascii="Arial" w:hAnsi="Arial" w:cs="Arial"/>
          <w:sz w:val="22"/>
          <w:szCs w:val="22"/>
        </w:rPr>
        <w:t>amended</w:t>
      </w:r>
      <w:proofErr w:type="gramEnd"/>
    </w:p>
    <w:p w14:paraId="55B30C2F" w14:textId="77777777" w:rsidR="009939E2" w:rsidRPr="009939E2" w:rsidRDefault="009939E2" w:rsidP="009939E2">
      <w:pPr>
        <w:pStyle w:val="Default"/>
        <w:numPr>
          <w:ilvl w:val="0"/>
          <w:numId w:val="1"/>
        </w:numPr>
        <w:spacing w:after="80"/>
        <w:rPr>
          <w:rFonts w:ascii="Arial" w:hAnsi="Arial" w:cs="Arial"/>
          <w:sz w:val="22"/>
          <w:szCs w:val="22"/>
        </w:rPr>
      </w:pPr>
      <w:r w:rsidRPr="009939E2">
        <w:rPr>
          <w:rFonts w:ascii="Arial" w:hAnsi="Arial" w:cs="Arial"/>
          <w:sz w:val="22"/>
          <w:szCs w:val="22"/>
        </w:rPr>
        <w:t>Localism Act 2011 (specifically Section 160ZA: Allocation only to eligible and qualifying persons)</w:t>
      </w:r>
    </w:p>
    <w:p w14:paraId="50E7506C" w14:textId="77777777" w:rsidR="009939E2" w:rsidRPr="009939E2" w:rsidRDefault="009939E2" w:rsidP="009939E2">
      <w:pPr>
        <w:pStyle w:val="Default"/>
        <w:numPr>
          <w:ilvl w:val="0"/>
          <w:numId w:val="1"/>
        </w:numPr>
        <w:spacing w:after="80"/>
        <w:rPr>
          <w:rFonts w:ascii="Arial" w:hAnsi="Arial" w:cs="Arial"/>
          <w:sz w:val="22"/>
          <w:szCs w:val="22"/>
        </w:rPr>
      </w:pPr>
      <w:r w:rsidRPr="009939E2">
        <w:rPr>
          <w:rFonts w:ascii="Arial" w:hAnsi="Arial" w:cs="Arial"/>
          <w:sz w:val="22"/>
          <w:szCs w:val="22"/>
        </w:rPr>
        <w:t xml:space="preserve">Data Protection Act 2018 </w:t>
      </w:r>
    </w:p>
    <w:p w14:paraId="550527E9" w14:textId="77777777" w:rsidR="009939E2" w:rsidRPr="009939E2" w:rsidRDefault="009939E2" w:rsidP="009939E2">
      <w:pPr>
        <w:pStyle w:val="Default"/>
        <w:numPr>
          <w:ilvl w:val="0"/>
          <w:numId w:val="1"/>
        </w:numPr>
        <w:spacing w:after="80"/>
        <w:rPr>
          <w:rFonts w:ascii="Arial" w:hAnsi="Arial" w:cs="Arial"/>
          <w:sz w:val="22"/>
          <w:szCs w:val="22"/>
        </w:rPr>
      </w:pPr>
      <w:r w:rsidRPr="009939E2">
        <w:rPr>
          <w:rFonts w:ascii="Arial" w:hAnsi="Arial" w:cs="Arial"/>
          <w:sz w:val="22"/>
          <w:szCs w:val="22"/>
        </w:rPr>
        <w:t xml:space="preserve">Equality Act 2006 </w:t>
      </w:r>
    </w:p>
    <w:p w14:paraId="41D8E5F8" w14:textId="77777777" w:rsidR="009939E2" w:rsidRPr="009939E2" w:rsidRDefault="009939E2" w:rsidP="009939E2">
      <w:pPr>
        <w:pStyle w:val="BodyText"/>
        <w:jc w:val="left"/>
        <w:rPr>
          <w:rFonts w:ascii="Arial" w:hAnsi="Arial" w:cs="Arial"/>
          <w:b w:val="0"/>
          <w:bCs w:val="0"/>
          <w:sz w:val="24"/>
        </w:rPr>
      </w:pPr>
    </w:p>
    <w:p w14:paraId="38FB2A25" w14:textId="77777777" w:rsidR="009939E2" w:rsidRPr="009939E2" w:rsidRDefault="009939E2" w:rsidP="009939E2">
      <w:pPr>
        <w:pStyle w:val="BodyText"/>
        <w:ind w:left="540" w:hanging="540"/>
        <w:jc w:val="left"/>
        <w:rPr>
          <w:rFonts w:ascii="Arial" w:hAnsi="Arial" w:cs="Arial"/>
          <w:b w:val="0"/>
          <w:bCs w:val="0"/>
          <w:sz w:val="24"/>
        </w:rPr>
      </w:pPr>
    </w:p>
    <w:p w14:paraId="168C991F" w14:textId="77777777" w:rsidR="009939E2" w:rsidRPr="009939E2" w:rsidRDefault="009939E2" w:rsidP="00633DD7">
      <w:pPr>
        <w:pStyle w:val="Heading2"/>
        <w:tabs>
          <w:tab w:val="left" w:pos="567"/>
          <w:tab w:val="left" w:pos="709"/>
        </w:tabs>
        <w:rPr>
          <w:rFonts w:ascii="Arial" w:hAnsi="Arial" w:cs="Arial"/>
        </w:rPr>
      </w:pPr>
      <w:bookmarkStart w:id="3" w:name="_Toc98408436"/>
      <w:r w:rsidRPr="009939E2">
        <w:rPr>
          <w:rFonts w:ascii="Arial" w:hAnsi="Arial" w:cs="Arial"/>
        </w:rPr>
        <w:t>3.     Objectives of the Policy</w:t>
      </w:r>
      <w:bookmarkEnd w:id="3"/>
    </w:p>
    <w:p w14:paraId="2ADAFF46" w14:textId="77777777" w:rsidR="009939E2" w:rsidRPr="009939E2" w:rsidRDefault="009939E2" w:rsidP="009939E2">
      <w:pPr>
        <w:pStyle w:val="BodyText"/>
        <w:jc w:val="left"/>
        <w:rPr>
          <w:rFonts w:ascii="Arial" w:hAnsi="Arial" w:cs="Arial"/>
          <w:b w:val="0"/>
          <w:bCs w:val="0"/>
          <w:sz w:val="24"/>
        </w:rPr>
      </w:pPr>
    </w:p>
    <w:p w14:paraId="2E7FDF12" w14:textId="1201E450" w:rsidR="009939E2" w:rsidRDefault="009939E2" w:rsidP="00633DD7">
      <w:pPr>
        <w:pStyle w:val="BodyText"/>
        <w:ind w:left="567" w:hanging="567"/>
        <w:jc w:val="left"/>
        <w:rPr>
          <w:rFonts w:ascii="Arial" w:hAnsi="Arial" w:cs="Arial"/>
          <w:b w:val="0"/>
          <w:bCs w:val="0"/>
          <w:sz w:val="24"/>
        </w:rPr>
      </w:pPr>
      <w:r w:rsidRPr="009939E2">
        <w:rPr>
          <w:rFonts w:ascii="Arial" w:hAnsi="Arial" w:cs="Arial"/>
          <w:b w:val="0"/>
          <w:bCs w:val="0"/>
          <w:sz w:val="22"/>
          <w:szCs w:val="22"/>
        </w:rPr>
        <w:t xml:space="preserve">3.1   </w:t>
      </w:r>
      <w:r w:rsidR="00633DD7">
        <w:rPr>
          <w:rFonts w:ascii="Arial" w:hAnsi="Arial" w:cs="Arial"/>
          <w:b w:val="0"/>
          <w:bCs w:val="0"/>
          <w:sz w:val="22"/>
          <w:szCs w:val="22"/>
        </w:rPr>
        <w:tab/>
      </w:r>
      <w:r w:rsidRPr="009939E2">
        <w:rPr>
          <w:rFonts w:ascii="Arial" w:hAnsi="Arial" w:cs="Arial"/>
          <w:b w:val="0"/>
          <w:bCs w:val="0"/>
          <w:sz w:val="22"/>
          <w:szCs w:val="22"/>
        </w:rPr>
        <w:t>This policy ensures that the Council ha</w:t>
      </w:r>
      <w:r w:rsidR="005467DE">
        <w:rPr>
          <w:rFonts w:ascii="Arial" w:hAnsi="Arial" w:cs="Arial"/>
          <w:b w:val="0"/>
          <w:bCs w:val="0"/>
          <w:sz w:val="22"/>
          <w:szCs w:val="22"/>
        </w:rPr>
        <w:t>s</w:t>
      </w:r>
      <w:r w:rsidRPr="009939E2">
        <w:rPr>
          <w:rFonts w:ascii="Arial" w:hAnsi="Arial" w:cs="Arial"/>
          <w:b w:val="0"/>
          <w:bCs w:val="0"/>
          <w:sz w:val="22"/>
          <w:szCs w:val="22"/>
        </w:rPr>
        <w:t xml:space="preserve"> arrangements in place to undertake necessary work in tenanted properties, where the nature of the work means that it is not appropriate for the tenant to remain in residence.</w:t>
      </w:r>
      <w:r w:rsidRPr="009939E2">
        <w:rPr>
          <w:rFonts w:ascii="Arial" w:hAnsi="Arial" w:cs="Arial"/>
          <w:b w:val="0"/>
          <w:bCs w:val="0"/>
          <w:sz w:val="24"/>
        </w:rPr>
        <w:t xml:space="preserve"> </w:t>
      </w:r>
    </w:p>
    <w:p w14:paraId="0556A9A8" w14:textId="68B744C1" w:rsidR="009C056B" w:rsidRDefault="009C056B" w:rsidP="009939E2">
      <w:pPr>
        <w:pStyle w:val="BodyText"/>
        <w:ind w:left="540" w:hanging="540"/>
        <w:jc w:val="left"/>
        <w:rPr>
          <w:rFonts w:ascii="Arial" w:hAnsi="Arial" w:cs="Arial"/>
          <w:b w:val="0"/>
          <w:bCs w:val="0"/>
          <w:sz w:val="24"/>
        </w:rPr>
      </w:pPr>
    </w:p>
    <w:p w14:paraId="7348F709" w14:textId="279034A1" w:rsidR="009C056B" w:rsidRDefault="009C056B" w:rsidP="009C056B">
      <w:pPr>
        <w:pStyle w:val="BodyText"/>
        <w:ind w:left="540" w:hanging="540"/>
        <w:jc w:val="left"/>
        <w:rPr>
          <w:rFonts w:ascii="Arial" w:hAnsi="Arial" w:cs="Arial"/>
          <w:b w:val="0"/>
          <w:bCs w:val="0"/>
          <w:sz w:val="24"/>
        </w:rPr>
      </w:pPr>
      <w:r w:rsidRPr="009939E2">
        <w:rPr>
          <w:rFonts w:ascii="Arial" w:hAnsi="Arial" w:cs="Arial"/>
          <w:b w:val="0"/>
          <w:bCs w:val="0"/>
          <w:sz w:val="22"/>
          <w:szCs w:val="22"/>
        </w:rPr>
        <w:t>3.</w:t>
      </w:r>
      <w:r>
        <w:rPr>
          <w:rFonts w:ascii="Arial" w:hAnsi="Arial" w:cs="Arial"/>
          <w:b w:val="0"/>
          <w:bCs w:val="0"/>
          <w:sz w:val="22"/>
          <w:szCs w:val="22"/>
        </w:rPr>
        <w:t>2</w:t>
      </w:r>
      <w:r w:rsidRPr="009939E2">
        <w:rPr>
          <w:rFonts w:ascii="Arial" w:hAnsi="Arial" w:cs="Arial"/>
          <w:b w:val="0"/>
          <w:bCs w:val="0"/>
          <w:sz w:val="22"/>
          <w:szCs w:val="22"/>
        </w:rPr>
        <w:t xml:space="preserve">   </w:t>
      </w:r>
      <w:r w:rsidR="00633DD7">
        <w:rPr>
          <w:rFonts w:ascii="Arial" w:hAnsi="Arial" w:cs="Arial"/>
          <w:b w:val="0"/>
          <w:bCs w:val="0"/>
          <w:sz w:val="22"/>
          <w:szCs w:val="22"/>
        </w:rPr>
        <w:t xml:space="preserve"> </w:t>
      </w:r>
      <w:r w:rsidRPr="009C056B">
        <w:rPr>
          <w:rFonts w:ascii="Arial" w:hAnsi="Arial" w:cs="Arial"/>
          <w:b w:val="0"/>
          <w:bCs w:val="0"/>
          <w:sz w:val="22"/>
          <w:szCs w:val="22"/>
        </w:rPr>
        <w:t>In some cases it will not be physically possible to carry out the work with a tenant in        residence due to health and safety or welfare implications. However, in other circumstances the time and cost advantages of having an empty house to work in are such that a decant is the most practical and/or economically advantageous arrangement.</w:t>
      </w:r>
    </w:p>
    <w:p w14:paraId="0FDC4D7F" w14:textId="53595221" w:rsidR="009939E2" w:rsidRDefault="009939E2" w:rsidP="009939E2">
      <w:pPr>
        <w:ind w:left="540" w:hanging="540"/>
        <w:rPr>
          <w:rFonts w:cs="Arial"/>
        </w:rPr>
      </w:pPr>
    </w:p>
    <w:p w14:paraId="24B096E1" w14:textId="77777777" w:rsidR="009C056B" w:rsidRPr="009939E2" w:rsidRDefault="009C056B" w:rsidP="009939E2">
      <w:pPr>
        <w:ind w:left="540" w:hanging="540"/>
        <w:rPr>
          <w:rFonts w:cs="Arial"/>
        </w:rPr>
      </w:pPr>
    </w:p>
    <w:p w14:paraId="1195C0D4" w14:textId="77777777" w:rsidR="009939E2" w:rsidRPr="009939E2" w:rsidRDefault="009939E2" w:rsidP="009939E2">
      <w:pPr>
        <w:pStyle w:val="Heading2"/>
        <w:rPr>
          <w:rFonts w:ascii="Arial" w:hAnsi="Arial" w:cs="Arial"/>
        </w:rPr>
      </w:pPr>
      <w:bookmarkStart w:id="4" w:name="_Toc98408437"/>
      <w:r w:rsidRPr="009939E2">
        <w:rPr>
          <w:rFonts w:ascii="Arial" w:hAnsi="Arial" w:cs="Arial"/>
        </w:rPr>
        <w:t>4.     Definitions</w:t>
      </w:r>
      <w:bookmarkEnd w:id="4"/>
    </w:p>
    <w:p w14:paraId="391347A1" w14:textId="77777777" w:rsidR="009939E2" w:rsidRPr="009939E2" w:rsidRDefault="009939E2" w:rsidP="009939E2">
      <w:pPr>
        <w:rPr>
          <w:rFonts w:cs="Arial"/>
        </w:rPr>
      </w:pPr>
    </w:p>
    <w:p w14:paraId="33AFB153" w14:textId="623FBC62" w:rsidR="009939E2" w:rsidRPr="009939E2" w:rsidRDefault="009939E2" w:rsidP="00633DD7">
      <w:pPr>
        <w:tabs>
          <w:tab w:val="left" w:pos="540"/>
        </w:tabs>
        <w:ind w:left="540" w:hanging="540"/>
        <w:rPr>
          <w:rFonts w:cs="Arial"/>
          <w:szCs w:val="22"/>
        </w:rPr>
      </w:pPr>
      <w:r w:rsidRPr="009939E2">
        <w:rPr>
          <w:rFonts w:cs="Arial"/>
          <w:szCs w:val="22"/>
        </w:rPr>
        <w:t xml:space="preserve">4.1   </w:t>
      </w:r>
      <w:r w:rsidR="00633DD7">
        <w:rPr>
          <w:rFonts w:cs="Arial"/>
          <w:szCs w:val="22"/>
        </w:rPr>
        <w:t xml:space="preserve"> </w:t>
      </w:r>
      <w:r w:rsidRPr="009939E2">
        <w:rPr>
          <w:rFonts w:cs="Arial"/>
          <w:szCs w:val="22"/>
        </w:rPr>
        <w:t xml:space="preserve">Decant: Temporary housing which is offered where is it essential for the property to vacated whilst work is undertaken. </w:t>
      </w:r>
    </w:p>
    <w:p w14:paraId="76327BB7" w14:textId="77777777" w:rsidR="009939E2" w:rsidRPr="009939E2" w:rsidRDefault="009939E2" w:rsidP="009939E2">
      <w:pPr>
        <w:tabs>
          <w:tab w:val="left" w:pos="540"/>
        </w:tabs>
        <w:ind w:left="540" w:hanging="540"/>
        <w:rPr>
          <w:rFonts w:cs="Arial"/>
          <w:szCs w:val="22"/>
        </w:rPr>
      </w:pPr>
    </w:p>
    <w:p w14:paraId="09C10F06" w14:textId="77777777" w:rsidR="009939E2" w:rsidRPr="009939E2" w:rsidRDefault="009939E2" w:rsidP="009939E2">
      <w:pPr>
        <w:tabs>
          <w:tab w:val="left" w:pos="540"/>
        </w:tabs>
        <w:ind w:left="540" w:hanging="540"/>
        <w:rPr>
          <w:rFonts w:cs="Arial"/>
          <w:szCs w:val="22"/>
        </w:rPr>
      </w:pPr>
      <w:r w:rsidRPr="009939E2">
        <w:rPr>
          <w:rFonts w:cs="Arial"/>
          <w:szCs w:val="22"/>
        </w:rPr>
        <w:lastRenderedPageBreak/>
        <w:t>4.2</w:t>
      </w:r>
      <w:r w:rsidRPr="009939E2">
        <w:rPr>
          <w:rFonts w:cs="Arial"/>
          <w:szCs w:val="22"/>
        </w:rPr>
        <w:tab/>
        <w:t>Eligible Payments: Payments which are made to assist with the temporary/permanent move.</w:t>
      </w:r>
    </w:p>
    <w:p w14:paraId="4E6A1040" w14:textId="77777777" w:rsidR="009939E2" w:rsidRPr="009939E2" w:rsidRDefault="009939E2" w:rsidP="009939E2">
      <w:pPr>
        <w:tabs>
          <w:tab w:val="left" w:pos="540"/>
        </w:tabs>
        <w:rPr>
          <w:rFonts w:cs="Arial"/>
        </w:rPr>
      </w:pPr>
    </w:p>
    <w:p w14:paraId="55FE547F" w14:textId="77777777" w:rsidR="009939E2" w:rsidRPr="009939E2" w:rsidRDefault="009939E2" w:rsidP="009939E2">
      <w:pPr>
        <w:rPr>
          <w:rFonts w:cs="Arial"/>
        </w:rPr>
      </w:pPr>
    </w:p>
    <w:p w14:paraId="18FC5F89" w14:textId="22CF8320" w:rsidR="009939E2" w:rsidRPr="009939E2" w:rsidRDefault="009939E2" w:rsidP="00633DD7">
      <w:pPr>
        <w:pStyle w:val="Heading2"/>
        <w:tabs>
          <w:tab w:val="left" w:pos="567"/>
        </w:tabs>
        <w:rPr>
          <w:rFonts w:ascii="Arial" w:hAnsi="Arial" w:cs="Arial"/>
        </w:rPr>
      </w:pPr>
      <w:bookmarkStart w:id="5" w:name="_Toc98408438"/>
      <w:r w:rsidRPr="009939E2">
        <w:rPr>
          <w:rFonts w:ascii="Arial" w:hAnsi="Arial" w:cs="Arial"/>
        </w:rPr>
        <w:t>5.</w:t>
      </w:r>
      <w:r w:rsidR="00633DD7">
        <w:rPr>
          <w:rFonts w:ascii="Arial" w:hAnsi="Arial" w:cs="Arial"/>
        </w:rPr>
        <w:tab/>
      </w:r>
      <w:r w:rsidRPr="009939E2">
        <w:rPr>
          <w:rFonts w:ascii="Arial" w:hAnsi="Arial" w:cs="Arial"/>
        </w:rPr>
        <w:t>Responsible Parties</w:t>
      </w:r>
      <w:bookmarkEnd w:id="5"/>
    </w:p>
    <w:p w14:paraId="24E9C49E" w14:textId="77777777" w:rsidR="009939E2" w:rsidRPr="009939E2" w:rsidRDefault="009939E2" w:rsidP="009939E2">
      <w:pPr>
        <w:ind w:left="540" w:hanging="540"/>
        <w:rPr>
          <w:rFonts w:cs="Arial"/>
        </w:rPr>
      </w:pPr>
    </w:p>
    <w:p w14:paraId="37289D91" w14:textId="595E3C10" w:rsidR="009939E2" w:rsidRPr="009939E2" w:rsidRDefault="009939E2" w:rsidP="009939E2">
      <w:pPr>
        <w:ind w:left="540" w:hanging="540"/>
        <w:rPr>
          <w:rFonts w:cs="Arial"/>
          <w:szCs w:val="22"/>
        </w:rPr>
      </w:pPr>
      <w:r w:rsidRPr="009939E2">
        <w:rPr>
          <w:rFonts w:cs="Arial"/>
          <w:szCs w:val="22"/>
        </w:rPr>
        <w:t>5.1</w:t>
      </w:r>
      <w:r w:rsidRPr="009939E2">
        <w:rPr>
          <w:rFonts w:cs="Arial"/>
          <w:szCs w:val="22"/>
        </w:rPr>
        <w:tab/>
        <w:t>The responsibility for facilitating and agreeing alternative arrangements under this policy sit with Housing Management Team Manager</w:t>
      </w:r>
      <w:r w:rsidR="00385C6F">
        <w:rPr>
          <w:rFonts w:cs="Arial"/>
          <w:szCs w:val="22"/>
        </w:rPr>
        <w:t>.</w:t>
      </w:r>
    </w:p>
    <w:p w14:paraId="2C31980C" w14:textId="77777777" w:rsidR="009939E2" w:rsidRPr="009939E2" w:rsidRDefault="009939E2" w:rsidP="009939E2">
      <w:pPr>
        <w:ind w:left="540" w:hanging="540"/>
        <w:rPr>
          <w:rFonts w:cs="Arial"/>
          <w:szCs w:val="22"/>
        </w:rPr>
      </w:pPr>
    </w:p>
    <w:p w14:paraId="05A2CC12" w14:textId="69EC0FCB" w:rsidR="009939E2" w:rsidRPr="009939E2" w:rsidRDefault="009939E2" w:rsidP="009939E2">
      <w:pPr>
        <w:ind w:left="540" w:hanging="540"/>
        <w:rPr>
          <w:rFonts w:cs="Arial"/>
          <w:szCs w:val="22"/>
        </w:rPr>
      </w:pPr>
      <w:r w:rsidRPr="009939E2">
        <w:rPr>
          <w:rFonts w:cs="Arial"/>
          <w:szCs w:val="22"/>
        </w:rPr>
        <w:t>5.2</w:t>
      </w:r>
      <w:r w:rsidRPr="009939E2">
        <w:rPr>
          <w:rFonts w:cs="Arial"/>
          <w:szCs w:val="22"/>
        </w:rPr>
        <w:tab/>
      </w:r>
      <w:r w:rsidR="00273BB3">
        <w:rPr>
          <w:rFonts w:cs="Arial"/>
          <w:szCs w:val="22"/>
        </w:rPr>
        <w:t>T</w:t>
      </w:r>
      <w:r w:rsidRPr="009939E2">
        <w:rPr>
          <w:rFonts w:cs="Arial"/>
          <w:szCs w:val="22"/>
        </w:rPr>
        <w:t xml:space="preserve">he responsibility for assessing the scope of works and likely impact sits with the </w:t>
      </w:r>
      <w:r w:rsidR="00F00940">
        <w:rPr>
          <w:rFonts w:cs="Arial"/>
          <w:szCs w:val="22"/>
        </w:rPr>
        <w:t>Commercial Services</w:t>
      </w:r>
      <w:r w:rsidR="00273BB3">
        <w:rPr>
          <w:rFonts w:cs="Arial"/>
          <w:szCs w:val="22"/>
        </w:rPr>
        <w:t xml:space="preserve"> </w:t>
      </w:r>
      <w:r w:rsidR="005B47AA">
        <w:rPr>
          <w:rFonts w:cs="Arial"/>
          <w:szCs w:val="22"/>
        </w:rPr>
        <w:t>and/</w:t>
      </w:r>
      <w:r w:rsidR="00273BB3">
        <w:rPr>
          <w:rFonts w:cs="Arial"/>
          <w:szCs w:val="22"/>
        </w:rPr>
        <w:t>or Asset Management</w:t>
      </w:r>
      <w:r w:rsidR="00F00940">
        <w:rPr>
          <w:rFonts w:cs="Arial"/>
          <w:szCs w:val="22"/>
        </w:rPr>
        <w:t xml:space="preserve"> Team</w:t>
      </w:r>
      <w:r w:rsidR="00273BB3">
        <w:rPr>
          <w:rFonts w:cs="Arial"/>
          <w:szCs w:val="22"/>
        </w:rPr>
        <w:t xml:space="preserve"> </w:t>
      </w:r>
      <w:r w:rsidR="00385C6F">
        <w:rPr>
          <w:rFonts w:cs="Arial"/>
          <w:szCs w:val="22"/>
        </w:rPr>
        <w:t>in conjunction with the Housing Officer for the area.</w:t>
      </w:r>
    </w:p>
    <w:p w14:paraId="517B7B7F" w14:textId="77777777" w:rsidR="009939E2" w:rsidRPr="009939E2" w:rsidRDefault="009939E2" w:rsidP="009939E2">
      <w:pPr>
        <w:ind w:left="540" w:hanging="540"/>
        <w:rPr>
          <w:rFonts w:cs="Arial"/>
          <w:szCs w:val="22"/>
        </w:rPr>
      </w:pPr>
    </w:p>
    <w:p w14:paraId="093D9061" w14:textId="77777777" w:rsidR="009939E2" w:rsidRPr="009939E2" w:rsidRDefault="009939E2" w:rsidP="009939E2">
      <w:pPr>
        <w:ind w:left="540" w:hanging="540"/>
        <w:rPr>
          <w:rFonts w:cs="Arial"/>
          <w:szCs w:val="22"/>
        </w:rPr>
      </w:pPr>
      <w:r w:rsidRPr="009939E2">
        <w:rPr>
          <w:rFonts w:cs="Arial"/>
          <w:szCs w:val="22"/>
        </w:rPr>
        <w:t>5.3</w:t>
      </w:r>
      <w:r w:rsidRPr="009939E2">
        <w:rPr>
          <w:rFonts w:cs="Arial"/>
          <w:szCs w:val="22"/>
        </w:rPr>
        <w:tab/>
        <w:t>The tenant(s) who are required in the terms of their tenancy to adhere to the contracts.</w:t>
      </w:r>
    </w:p>
    <w:p w14:paraId="19D89988" w14:textId="5CEC5DCE" w:rsidR="009939E2" w:rsidRDefault="009939E2" w:rsidP="009939E2">
      <w:pPr>
        <w:ind w:left="540" w:hanging="540"/>
        <w:rPr>
          <w:rFonts w:cs="Arial"/>
          <w:szCs w:val="22"/>
        </w:rPr>
      </w:pPr>
    </w:p>
    <w:p w14:paraId="72D78964" w14:textId="77777777" w:rsidR="009C056B" w:rsidRPr="009939E2" w:rsidRDefault="009C056B" w:rsidP="009939E2">
      <w:pPr>
        <w:ind w:left="540" w:hanging="540"/>
        <w:rPr>
          <w:rFonts w:cs="Arial"/>
          <w:szCs w:val="22"/>
        </w:rPr>
      </w:pPr>
    </w:p>
    <w:p w14:paraId="2586A40A" w14:textId="77777777" w:rsidR="009939E2" w:rsidRPr="009939E2" w:rsidRDefault="009939E2" w:rsidP="00083AE9">
      <w:pPr>
        <w:pStyle w:val="Heading2"/>
        <w:tabs>
          <w:tab w:val="left" w:pos="567"/>
        </w:tabs>
        <w:rPr>
          <w:rFonts w:ascii="Arial" w:hAnsi="Arial" w:cs="Arial"/>
        </w:rPr>
      </w:pPr>
      <w:bookmarkStart w:id="6" w:name="_Toc98408439"/>
      <w:r w:rsidRPr="009939E2">
        <w:rPr>
          <w:rFonts w:ascii="Arial" w:hAnsi="Arial" w:cs="Arial"/>
        </w:rPr>
        <w:t xml:space="preserve">6. </w:t>
      </w:r>
      <w:r w:rsidRPr="009939E2">
        <w:rPr>
          <w:rFonts w:ascii="Arial" w:hAnsi="Arial" w:cs="Arial"/>
        </w:rPr>
        <w:tab/>
        <w:t>When a Decant Will Take Place</w:t>
      </w:r>
      <w:bookmarkEnd w:id="6"/>
    </w:p>
    <w:p w14:paraId="394FDEDD" w14:textId="77777777" w:rsidR="009939E2" w:rsidRPr="009939E2" w:rsidRDefault="009939E2" w:rsidP="009939E2">
      <w:pPr>
        <w:ind w:left="540" w:hanging="540"/>
        <w:rPr>
          <w:rFonts w:cs="Arial"/>
          <w:szCs w:val="22"/>
        </w:rPr>
      </w:pPr>
    </w:p>
    <w:p w14:paraId="56D87475" w14:textId="2A2C79F8" w:rsidR="009C056B" w:rsidRDefault="009939E2" w:rsidP="00D91358">
      <w:pPr>
        <w:ind w:left="540" w:hanging="540"/>
        <w:rPr>
          <w:rFonts w:cs="Arial"/>
        </w:rPr>
      </w:pPr>
      <w:r w:rsidRPr="009939E2">
        <w:rPr>
          <w:rFonts w:cs="Arial"/>
          <w:szCs w:val="22"/>
        </w:rPr>
        <w:t>6.1</w:t>
      </w:r>
      <w:r w:rsidRPr="009939E2">
        <w:rPr>
          <w:rFonts w:cs="Arial"/>
          <w:szCs w:val="22"/>
        </w:rPr>
        <w:tab/>
      </w:r>
      <w:r w:rsidR="00D91358">
        <w:rPr>
          <w:rFonts w:cs="Arial"/>
          <w:szCs w:val="22"/>
        </w:rPr>
        <w:t>This policy will determine how a decant will be facilitated. The situations where a decant will be required will be set out within other operational policies such as the repairs policy.</w:t>
      </w:r>
    </w:p>
    <w:p w14:paraId="2FA80C4B" w14:textId="77777777" w:rsidR="009C056B" w:rsidRDefault="009C056B" w:rsidP="009C056B">
      <w:pPr>
        <w:spacing w:after="200" w:line="276" w:lineRule="auto"/>
        <w:ind w:left="720" w:hanging="720"/>
        <w:rPr>
          <w:rFonts w:cs="Arial"/>
        </w:rPr>
      </w:pPr>
    </w:p>
    <w:p w14:paraId="1E0E695C" w14:textId="77777777" w:rsidR="003D11ED" w:rsidRPr="009939E2" w:rsidRDefault="003D11ED" w:rsidP="009C056B">
      <w:pPr>
        <w:spacing w:after="200" w:line="276" w:lineRule="auto"/>
        <w:ind w:left="720" w:hanging="720"/>
        <w:rPr>
          <w:rFonts w:cs="Arial"/>
        </w:rPr>
      </w:pPr>
    </w:p>
    <w:p w14:paraId="4FF432B6" w14:textId="77777777" w:rsidR="009939E2" w:rsidRPr="009939E2" w:rsidRDefault="009939E2" w:rsidP="009939E2">
      <w:pPr>
        <w:pStyle w:val="Heading2"/>
        <w:rPr>
          <w:rFonts w:ascii="Arial" w:hAnsi="Arial" w:cs="Arial"/>
        </w:rPr>
      </w:pPr>
      <w:bookmarkStart w:id="7" w:name="_Toc98408440"/>
      <w:r w:rsidRPr="009939E2">
        <w:rPr>
          <w:rFonts w:ascii="Arial" w:hAnsi="Arial" w:cs="Arial"/>
        </w:rPr>
        <w:t>7.</w:t>
      </w:r>
      <w:r w:rsidRPr="009939E2">
        <w:rPr>
          <w:rFonts w:ascii="Arial" w:hAnsi="Arial" w:cs="Arial"/>
        </w:rPr>
        <w:tab/>
        <w:t>Managing the Decant</w:t>
      </w:r>
      <w:bookmarkEnd w:id="7"/>
    </w:p>
    <w:p w14:paraId="664A4AEE" w14:textId="77777777" w:rsidR="009939E2" w:rsidRPr="009939E2" w:rsidRDefault="009939E2" w:rsidP="009939E2">
      <w:pPr>
        <w:rPr>
          <w:rFonts w:cs="Arial"/>
        </w:rPr>
      </w:pPr>
    </w:p>
    <w:p w14:paraId="4B296BFF" w14:textId="472F010F" w:rsidR="009939E2" w:rsidRPr="009939E2" w:rsidRDefault="009939E2" w:rsidP="009939E2">
      <w:pPr>
        <w:spacing w:after="200" w:line="276" w:lineRule="auto"/>
        <w:ind w:left="720" w:hanging="720"/>
        <w:rPr>
          <w:rFonts w:cs="Arial"/>
        </w:rPr>
      </w:pPr>
      <w:r w:rsidRPr="009939E2">
        <w:rPr>
          <w:rFonts w:cs="Arial"/>
        </w:rPr>
        <w:t>7.1</w:t>
      </w:r>
      <w:r w:rsidRPr="009939E2">
        <w:rPr>
          <w:rFonts w:cs="Arial"/>
        </w:rPr>
        <w:tab/>
        <w:t xml:space="preserve">The Housing Officer for the tenants’ home will be the single point of contact for the tenant as part of the decant process, supported by the </w:t>
      </w:r>
      <w:r w:rsidR="00566C8A">
        <w:rPr>
          <w:rFonts w:cs="Arial"/>
        </w:rPr>
        <w:t>Resident</w:t>
      </w:r>
      <w:r w:rsidRPr="009939E2">
        <w:rPr>
          <w:rFonts w:cs="Arial"/>
        </w:rPr>
        <w:t xml:space="preserve"> Liaison Officer. The officer will go through the Decant Policy with the tenant to ensure they are aware of what to expect in terms of accommodation and assistance. </w:t>
      </w:r>
    </w:p>
    <w:p w14:paraId="0F20DFD2" w14:textId="77777777" w:rsidR="009939E2" w:rsidRPr="009939E2" w:rsidRDefault="009939E2" w:rsidP="009939E2">
      <w:pPr>
        <w:spacing w:after="200" w:line="276" w:lineRule="auto"/>
        <w:ind w:left="720" w:hanging="720"/>
        <w:rPr>
          <w:rFonts w:cs="Arial"/>
        </w:rPr>
      </w:pPr>
      <w:r w:rsidRPr="009939E2">
        <w:rPr>
          <w:rFonts w:cs="Arial"/>
        </w:rPr>
        <w:t xml:space="preserve">7.2 </w:t>
      </w:r>
      <w:r w:rsidRPr="009939E2">
        <w:rPr>
          <w:rFonts w:cs="Arial"/>
        </w:rPr>
        <w:tab/>
        <w:t>The Housing Officer</w:t>
      </w:r>
      <w:r w:rsidRPr="009939E2">
        <w:rPr>
          <w:rFonts w:cs="Arial"/>
          <w:color w:val="FF0000"/>
        </w:rPr>
        <w:t xml:space="preserve"> </w:t>
      </w:r>
      <w:r w:rsidRPr="009939E2">
        <w:rPr>
          <w:rFonts w:cs="Arial"/>
        </w:rPr>
        <w:t xml:space="preserve">will be responsible for liaising with tenants and all other interested parties regarding the decant options and any compensation payments. </w:t>
      </w:r>
    </w:p>
    <w:p w14:paraId="7B372805" w14:textId="45538C2F" w:rsidR="009939E2" w:rsidRPr="009939E2" w:rsidRDefault="009939E2" w:rsidP="009939E2">
      <w:pPr>
        <w:spacing w:after="200" w:line="276" w:lineRule="auto"/>
        <w:ind w:left="720" w:hanging="720"/>
        <w:rPr>
          <w:rFonts w:cs="Arial"/>
        </w:rPr>
      </w:pPr>
      <w:r w:rsidRPr="009939E2">
        <w:rPr>
          <w:rFonts w:cs="Arial"/>
        </w:rPr>
        <w:t xml:space="preserve">7.3 </w:t>
      </w:r>
      <w:r w:rsidRPr="009939E2">
        <w:rPr>
          <w:rFonts w:cs="Arial"/>
        </w:rPr>
        <w:tab/>
        <w:t xml:space="preserve">At all times during the decant process the Housing Officer and/ or </w:t>
      </w:r>
      <w:r w:rsidR="00566C8A">
        <w:rPr>
          <w:rFonts w:cs="Arial"/>
        </w:rPr>
        <w:t>Resident</w:t>
      </w:r>
      <w:r w:rsidRPr="009939E2">
        <w:rPr>
          <w:rFonts w:cs="Arial"/>
        </w:rPr>
        <w:t xml:space="preserve"> Liaison Officer will ensure the tenant is kept up to date with all information required concerning the works to be carried out, estimated timescales. </w:t>
      </w:r>
    </w:p>
    <w:p w14:paraId="0E073285" w14:textId="756D59DC" w:rsidR="009939E2" w:rsidRPr="009939E2" w:rsidRDefault="009939E2" w:rsidP="009939E2">
      <w:pPr>
        <w:spacing w:after="200" w:line="276" w:lineRule="auto"/>
        <w:ind w:left="720" w:hanging="720"/>
        <w:rPr>
          <w:rFonts w:cs="Arial"/>
        </w:rPr>
      </w:pPr>
      <w:r w:rsidRPr="009939E2">
        <w:rPr>
          <w:rFonts w:cs="Arial"/>
        </w:rPr>
        <w:t>7.4</w:t>
      </w:r>
      <w:r w:rsidRPr="009939E2">
        <w:rPr>
          <w:rFonts w:cs="Arial"/>
        </w:rPr>
        <w:tab/>
        <w:t xml:space="preserve">Progress updates on the work should be provided by </w:t>
      </w:r>
      <w:r w:rsidR="00C22784">
        <w:rPr>
          <w:rFonts w:cs="Arial"/>
        </w:rPr>
        <w:t>Commercial Services/</w:t>
      </w:r>
      <w:r w:rsidRPr="009939E2">
        <w:rPr>
          <w:rFonts w:cs="Arial"/>
        </w:rPr>
        <w:t xml:space="preserve">Asset Management to the </w:t>
      </w:r>
      <w:r w:rsidR="00C22784">
        <w:rPr>
          <w:rFonts w:cs="Arial"/>
        </w:rPr>
        <w:t>H</w:t>
      </w:r>
      <w:r w:rsidRPr="009939E2">
        <w:rPr>
          <w:rFonts w:cs="Arial"/>
        </w:rPr>
        <w:t xml:space="preserve">ousing </w:t>
      </w:r>
      <w:r w:rsidR="00C22784">
        <w:rPr>
          <w:rFonts w:cs="Arial"/>
        </w:rPr>
        <w:t>O</w:t>
      </w:r>
      <w:r w:rsidRPr="009939E2">
        <w:rPr>
          <w:rFonts w:cs="Arial"/>
        </w:rPr>
        <w:t>fficer on a</w:t>
      </w:r>
      <w:r w:rsidR="00C22784">
        <w:rPr>
          <w:rFonts w:cs="Arial"/>
        </w:rPr>
        <w:t>t least a weekly</w:t>
      </w:r>
      <w:r w:rsidRPr="009939E2">
        <w:rPr>
          <w:rFonts w:cs="Arial"/>
        </w:rPr>
        <w:t xml:space="preserve"> basis.</w:t>
      </w:r>
    </w:p>
    <w:p w14:paraId="4529BE9B" w14:textId="70EA4123" w:rsidR="009939E2" w:rsidRPr="009939E2" w:rsidRDefault="009939E2" w:rsidP="009939E2">
      <w:pPr>
        <w:ind w:left="720" w:hanging="720"/>
        <w:rPr>
          <w:rFonts w:cs="Arial"/>
        </w:rPr>
      </w:pPr>
      <w:r w:rsidRPr="009939E2">
        <w:rPr>
          <w:rFonts w:cs="Arial"/>
        </w:rPr>
        <w:t xml:space="preserve">7.5 </w:t>
      </w:r>
      <w:r w:rsidRPr="009939E2">
        <w:rPr>
          <w:rFonts w:cs="Arial"/>
        </w:rPr>
        <w:tab/>
      </w:r>
      <w:r w:rsidR="00076D21">
        <w:rPr>
          <w:rFonts w:cs="Arial"/>
        </w:rPr>
        <w:t xml:space="preserve">The Housing Officer </w:t>
      </w:r>
      <w:r w:rsidRPr="009939E2">
        <w:rPr>
          <w:rFonts w:cs="Arial"/>
        </w:rPr>
        <w:t xml:space="preserve">will arrange for the maintenance of the garden of the decanted property to a reasonable standard if it becomes overgrown during the period it is empty. This will be done before the tenant moves back into the property. </w:t>
      </w:r>
    </w:p>
    <w:p w14:paraId="6D82132D" w14:textId="77777777" w:rsidR="009939E2" w:rsidRPr="009939E2" w:rsidRDefault="009939E2" w:rsidP="009939E2">
      <w:pPr>
        <w:ind w:left="540" w:hanging="540"/>
        <w:rPr>
          <w:rFonts w:cs="Arial"/>
          <w:szCs w:val="22"/>
        </w:rPr>
      </w:pPr>
    </w:p>
    <w:p w14:paraId="3226A181" w14:textId="77777777" w:rsidR="009939E2" w:rsidRPr="009939E2" w:rsidRDefault="009939E2" w:rsidP="009939E2">
      <w:pPr>
        <w:ind w:left="540" w:hanging="540"/>
        <w:rPr>
          <w:rFonts w:cs="Arial"/>
          <w:szCs w:val="22"/>
        </w:rPr>
      </w:pPr>
    </w:p>
    <w:p w14:paraId="0F0EAAF5" w14:textId="77777777" w:rsidR="009939E2" w:rsidRPr="009939E2" w:rsidRDefault="009939E2" w:rsidP="00AA4D35">
      <w:pPr>
        <w:pStyle w:val="Heading2"/>
        <w:ind w:left="540" w:hanging="540"/>
        <w:rPr>
          <w:rFonts w:ascii="Arial" w:hAnsi="Arial" w:cs="Arial"/>
        </w:rPr>
      </w:pPr>
      <w:bookmarkStart w:id="8" w:name="_Toc98408441"/>
      <w:r w:rsidRPr="009939E2">
        <w:rPr>
          <w:rFonts w:ascii="Arial" w:hAnsi="Arial" w:cs="Arial"/>
        </w:rPr>
        <w:t>8.</w:t>
      </w:r>
      <w:r w:rsidRPr="009939E2">
        <w:rPr>
          <w:rFonts w:ascii="Arial" w:hAnsi="Arial" w:cs="Arial"/>
        </w:rPr>
        <w:tab/>
        <w:t>Where a Tenant Does not wish to be Decanted or a Decant is impractical</w:t>
      </w:r>
      <w:bookmarkEnd w:id="8"/>
    </w:p>
    <w:p w14:paraId="40C12B5B" w14:textId="77777777" w:rsidR="009939E2" w:rsidRPr="009939E2" w:rsidRDefault="009939E2" w:rsidP="009939E2">
      <w:pPr>
        <w:ind w:left="540" w:hanging="540"/>
        <w:rPr>
          <w:rFonts w:cs="Arial"/>
          <w:szCs w:val="22"/>
        </w:rPr>
      </w:pPr>
    </w:p>
    <w:p w14:paraId="4DA91E4B" w14:textId="1BA27DBE" w:rsidR="009939E2" w:rsidRPr="009939E2" w:rsidRDefault="009939E2" w:rsidP="009939E2">
      <w:pPr>
        <w:ind w:left="540" w:hanging="540"/>
        <w:rPr>
          <w:rFonts w:cs="Arial"/>
          <w:szCs w:val="22"/>
        </w:rPr>
      </w:pPr>
      <w:r w:rsidRPr="009939E2">
        <w:rPr>
          <w:rFonts w:cs="Arial"/>
          <w:szCs w:val="22"/>
        </w:rPr>
        <w:t>8.1</w:t>
      </w:r>
      <w:r w:rsidRPr="009939E2">
        <w:rPr>
          <w:rFonts w:cs="Arial"/>
          <w:szCs w:val="22"/>
        </w:rPr>
        <w:tab/>
        <w:t xml:space="preserve">Where a tenant does not wish to be decanted there are </w:t>
      </w:r>
      <w:r w:rsidR="00AA4D35" w:rsidRPr="009939E2">
        <w:rPr>
          <w:rFonts w:cs="Arial"/>
          <w:szCs w:val="22"/>
        </w:rPr>
        <w:t>several</w:t>
      </w:r>
      <w:r w:rsidRPr="009939E2">
        <w:rPr>
          <w:rFonts w:cs="Arial"/>
          <w:szCs w:val="22"/>
        </w:rPr>
        <w:t xml:space="preserve"> options available to the Council. In some circumstances work may be deferred or the scale of the work could be reduced </w:t>
      </w:r>
      <w:r w:rsidR="00AA4D35" w:rsidRPr="009939E2">
        <w:rPr>
          <w:rFonts w:cs="Arial"/>
          <w:szCs w:val="22"/>
        </w:rPr>
        <w:t>to</w:t>
      </w:r>
      <w:r w:rsidRPr="009939E2">
        <w:rPr>
          <w:rFonts w:cs="Arial"/>
          <w:szCs w:val="22"/>
        </w:rPr>
        <w:t xml:space="preserve"> be achievable with the tenant in situ.</w:t>
      </w:r>
    </w:p>
    <w:p w14:paraId="6BFC1416" w14:textId="77777777" w:rsidR="009939E2" w:rsidRPr="009939E2" w:rsidRDefault="009939E2" w:rsidP="009939E2">
      <w:pPr>
        <w:ind w:left="540" w:hanging="540"/>
        <w:rPr>
          <w:rFonts w:cs="Arial"/>
          <w:szCs w:val="22"/>
        </w:rPr>
      </w:pPr>
    </w:p>
    <w:p w14:paraId="409B7EF6" w14:textId="62CD046D" w:rsidR="009939E2" w:rsidRPr="009939E2" w:rsidRDefault="009939E2" w:rsidP="009939E2">
      <w:pPr>
        <w:ind w:left="540" w:hanging="540"/>
        <w:rPr>
          <w:rFonts w:cs="Arial"/>
          <w:szCs w:val="22"/>
        </w:rPr>
      </w:pPr>
      <w:r w:rsidRPr="009939E2">
        <w:rPr>
          <w:rFonts w:cs="Arial"/>
          <w:szCs w:val="22"/>
        </w:rPr>
        <w:lastRenderedPageBreak/>
        <w:t>8.2</w:t>
      </w:r>
      <w:r w:rsidRPr="009939E2">
        <w:rPr>
          <w:rFonts w:cs="Arial"/>
          <w:szCs w:val="22"/>
        </w:rPr>
        <w:tab/>
        <w:t>Ultimately if the work is essential the Council could look to ensure the property is safe and look for legal options to ensure the work is completed</w:t>
      </w:r>
      <w:r w:rsidR="0005182E">
        <w:rPr>
          <w:rFonts w:cs="Arial"/>
          <w:szCs w:val="22"/>
        </w:rPr>
        <w:t>.</w:t>
      </w:r>
    </w:p>
    <w:p w14:paraId="28627DA8" w14:textId="77777777" w:rsidR="009939E2" w:rsidRPr="009939E2" w:rsidRDefault="009939E2" w:rsidP="009939E2">
      <w:pPr>
        <w:ind w:left="540" w:hanging="540"/>
        <w:rPr>
          <w:rFonts w:cs="Arial"/>
          <w:szCs w:val="22"/>
        </w:rPr>
      </w:pPr>
    </w:p>
    <w:p w14:paraId="657B6B26" w14:textId="46DCB5AF" w:rsidR="009939E2" w:rsidRDefault="009939E2" w:rsidP="009939E2">
      <w:pPr>
        <w:ind w:left="540" w:hanging="540"/>
        <w:rPr>
          <w:rFonts w:cs="Arial"/>
          <w:szCs w:val="22"/>
        </w:rPr>
      </w:pPr>
      <w:r w:rsidRPr="009939E2">
        <w:rPr>
          <w:rFonts w:cs="Arial"/>
          <w:szCs w:val="22"/>
        </w:rPr>
        <w:t>8.3</w:t>
      </w:r>
      <w:r w:rsidRPr="009939E2">
        <w:rPr>
          <w:rFonts w:cs="Arial"/>
          <w:szCs w:val="22"/>
        </w:rPr>
        <w:tab/>
        <w:t>For some tenants with very specific needs a decant might not be practical or achievable. In these circumstances additional measure may instead be offered to ensure the tenant can remain in situ such as</w:t>
      </w:r>
      <w:r w:rsidR="009E1450">
        <w:rPr>
          <w:rFonts w:cs="Arial"/>
          <w:szCs w:val="22"/>
        </w:rPr>
        <w:t xml:space="preserve">, but not exclusive to, </w:t>
      </w:r>
      <w:r w:rsidR="00EB0995">
        <w:rPr>
          <w:rFonts w:cs="Arial"/>
          <w:szCs w:val="22"/>
        </w:rPr>
        <w:t xml:space="preserve">respite care for a fixed </w:t>
      </w:r>
      <w:proofErr w:type="gramStart"/>
      <w:r w:rsidR="00EB0995">
        <w:rPr>
          <w:rFonts w:cs="Arial"/>
          <w:szCs w:val="22"/>
        </w:rPr>
        <w:t>period of time</w:t>
      </w:r>
      <w:proofErr w:type="gramEnd"/>
      <w:r w:rsidR="00EB0995">
        <w:rPr>
          <w:rFonts w:cs="Arial"/>
          <w:szCs w:val="22"/>
        </w:rPr>
        <w:t xml:space="preserve"> for a household member.  </w:t>
      </w:r>
      <w:r w:rsidR="008D43C2">
        <w:rPr>
          <w:rFonts w:cs="Arial"/>
          <w:szCs w:val="22"/>
        </w:rPr>
        <w:t xml:space="preserve">The Housing Officer will liaise with partner agencies already involved with the tenant and/or their household member or choose to contact </w:t>
      </w:r>
      <w:r w:rsidR="004B0AE7">
        <w:rPr>
          <w:rFonts w:cs="Arial"/>
          <w:szCs w:val="22"/>
        </w:rPr>
        <w:t xml:space="preserve">a partner agency for support, for example, Adult Social Care. </w:t>
      </w:r>
    </w:p>
    <w:p w14:paraId="36070A4F" w14:textId="77777777" w:rsidR="009C056B" w:rsidRPr="009939E2" w:rsidRDefault="009C056B" w:rsidP="009939E2">
      <w:pPr>
        <w:ind w:left="540" w:hanging="540"/>
        <w:rPr>
          <w:rFonts w:cs="Arial"/>
          <w:szCs w:val="22"/>
        </w:rPr>
      </w:pPr>
    </w:p>
    <w:p w14:paraId="4ACA77D5" w14:textId="77777777" w:rsidR="009939E2" w:rsidRPr="009939E2" w:rsidRDefault="009939E2" w:rsidP="009939E2">
      <w:pPr>
        <w:ind w:left="540" w:hanging="540"/>
        <w:rPr>
          <w:rFonts w:cs="Arial"/>
          <w:szCs w:val="22"/>
        </w:rPr>
      </w:pPr>
    </w:p>
    <w:p w14:paraId="5463F6DA" w14:textId="77777777" w:rsidR="009939E2" w:rsidRPr="009939E2" w:rsidRDefault="009939E2" w:rsidP="004B0AE7">
      <w:pPr>
        <w:pStyle w:val="Heading2"/>
        <w:tabs>
          <w:tab w:val="left" w:pos="567"/>
        </w:tabs>
        <w:rPr>
          <w:rFonts w:ascii="Arial" w:hAnsi="Arial" w:cs="Arial"/>
        </w:rPr>
      </w:pPr>
      <w:bookmarkStart w:id="9" w:name="_Toc98408442"/>
      <w:r w:rsidRPr="009939E2">
        <w:rPr>
          <w:rFonts w:ascii="Arial" w:hAnsi="Arial" w:cs="Arial"/>
        </w:rPr>
        <w:t>9.</w:t>
      </w:r>
      <w:r w:rsidRPr="009939E2">
        <w:rPr>
          <w:rFonts w:ascii="Arial" w:hAnsi="Arial" w:cs="Arial"/>
        </w:rPr>
        <w:tab/>
        <w:t>Facilitating a Permanent Move rather than a decant</w:t>
      </w:r>
      <w:bookmarkEnd w:id="9"/>
    </w:p>
    <w:p w14:paraId="1A01E62F" w14:textId="77777777" w:rsidR="009939E2" w:rsidRPr="009939E2" w:rsidRDefault="009939E2" w:rsidP="009939E2">
      <w:pPr>
        <w:rPr>
          <w:rFonts w:cs="Arial"/>
          <w:sz w:val="24"/>
          <w:szCs w:val="24"/>
        </w:rPr>
      </w:pPr>
    </w:p>
    <w:p w14:paraId="55E85C82" w14:textId="77777777" w:rsidR="009939E2" w:rsidRPr="009939E2" w:rsidRDefault="009939E2" w:rsidP="004B0AE7">
      <w:pPr>
        <w:ind w:left="567" w:hanging="567"/>
        <w:rPr>
          <w:rFonts w:cs="Arial"/>
        </w:rPr>
      </w:pPr>
      <w:r w:rsidRPr="009939E2">
        <w:rPr>
          <w:rFonts w:cs="Arial"/>
        </w:rPr>
        <w:t>9.1</w:t>
      </w:r>
      <w:r w:rsidRPr="009939E2">
        <w:rPr>
          <w:rFonts w:cs="Arial"/>
        </w:rPr>
        <w:tab/>
        <w:t>Circumstances may dictate that a permanent move is deemed by all responsible parties as the most appropriate action. One of the aims of this policy is not to move people from their homes unnecessarily and all options to return the tenant back to their home will be explored.</w:t>
      </w:r>
    </w:p>
    <w:p w14:paraId="4E31D359" w14:textId="77777777" w:rsidR="009939E2" w:rsidRPr="009939E2" w:rsidRDefault="009939E2" w:rsidP="009939E2">
      <w:pPr>
        <w:rPr>
          <w:rFonts w:cs="Arial"/>
        </w:rPr>
      </w:pPr>
    </w:p>
    <w:p w14:paraId="6885DB4A" w14:textId="043D415D" w:rsidR="009939E2" w:rsidRDefault="009939E2" w:rsidP="00DF2C79">
      <w:pPr>
        <w:ind w:left="567" w:hanging="567"/>
        <w:rPr>
          <w:rFonts w:cs="Arial"/>
        </w:rPr>
      </w:pPr>
      <w:r w:rsidRPr="009939E2">
        <w:rPr>
          <w:rFonts w:cs="Arial"/>
        </w:rPr>
        <w:t>9.2</w:t>
      </w:r>
      <w:r w:rsidRPr="009939E2">
        <w:rPr>
          <w:rFonts w:cs="Arial"/>
        </w:rPr>
        <w:tab/>
        <w:t xml:space="preserve">There may be additional considerations around the suitability of the property long term which may influence the responsible parties to look at whether a move permanently is more appropriate such as financial hardship or </w:t>
      </w:r>
      <w:r w:rsidR="00AA4D35" w:rsidRPr="009939E2">
        <w:rPr>
          <w:rFonts w:cs="Arial"/>
        </w:rPr>
        <w:t>longer-term</w:t>
      </w:r>
      <w:r w:rsidRPr="009939E2">
        <w:rPr>
          <w:rFonts w:cs="Arial"/>
        </w:rPr>
        <w:t xml:space="preserve"> physical </w:t>
      </w:r>
      <w:proofErr w:type="gramStart"/>
      <w:r w:rsidRPr="009939E2">
        <w:rPr>
          <w:rFonts w:cs="Arial"/>
        </w:rPr>
        <w:t>capabilities</w:t>
      </w:r>
      <w:proofErr w:type="gramEnd"/>
    </w:p>
    <w:p w14:paraId="723A9D8A" w14:textId="77777777" w:rsidR="009939E2" w:rsidRPr="009939E2" w:rsidRDefault="009939E2" w:rsidP="00637E31">
      <w:pPr>
        <w:rPr>
          <w:rFonts w:cs="Arial"/>
          <w:szCs w:val="22"/>
        </w:rPr>
      </w:pPr>
    </w:p>
    <w:p w14:paraId="0F8E0A9D" w14:textId="77777777" w:rsidR="009939E2" w:rsidRDefault="009939E2" w:rsidP="009939E2">
      <w:pPr>
        <w:ind w:left="540" w:hanging="540"/>
        <w:rPr>
          <w:rFonts w:cs="Arial"/>
        </w:rPr>
      </w:pPr>
    </w:p>
    <w:p w14:paraId="478206E1" w14:textId="77777777" w:rsidR="00DF2C79" w:rsidRPr="009939E2" w:rsidRDefault="00DF2C79" w:rsidP="009939E2">
      <w:pPr>
        <w:ind w:left="540" w:hanging="540"/>
        <w:rPr>
          <w:rFonts w:cs="Arial"/>
        </w:rPr>
      </w:pPr>
    </w:p>
    <w:p w14:paraId="5739F2EA" w14:textId="77777777" w:rsidR="009939E2" w:rsidRPr="009939E2" w:rsidRDefault="009939E2" w:rsidP="009939E2">
      <w:pPr>
        <w:pStyle w:val="Heading2"/>
        <w:rPr>
          <w:rFonts w:ascii="Arial" w:hAnsi="Arial" w:cs="Arial"/>
        </w:rPr>
      </w:pPr>
      <w:bookmarkStart w:id="10" w:name="_Toc98408443"/>
      <w:r w:rsidRPr="009939E2">
        <w:rPr>
          <w:rFonts w:ascii="Arial" w:hAnsi="Arial" w:cs="Arial"/>
        </w:rPr>
        <w:t>10.</w:t>
      </w:r>
      <w:r w:rsidRPr="009939E2">
        <w:rPr>
          <w:rFonts w:ascii="Arial" w:hAnsi="Arial" w:cs="Arial"/>
        </w:rPr>
        <w:tab/>
        <w:t>Types of Decant</w:t>
      </w:r>
      <w:bookmarkEnd w:id="10"/>
      <w:r w:rsidRPr="009939E2">
        <w:rPr>
          <w:rFonts w:ascii="Arial" w:hAnsi="Arial" w:cs="Arial"/>
        </w:rPr>
        <w:t xml:space="preserve"> </w:t>
      </w:r>
    </w:p>
    <w:p w14:paraId="6528D897" w14:textId="77777777" w:rsidR="009939E2" w:rsidRPr="009939E2" w:rsidRDefault="009939E2" w:rsidP="009939E2">
      <w:pPr>
        <w:ind w:left="540" w:hanging="540"/>
        <w:rPr>
          <w:rFonts w:cs="Arial"/>
        </w:rPr>
      </w:pPr>
    </w:p>
    <w:p w14:paraId="6B0A1409" w14:textId="729FDBA1" w:rsidR="009939E2" w:rsidRPr="009939E2" w:rsidRDefault="009939E2" w:rsidP="009939E2">
      <w:pPr>
        <w:spacing w:line="276" w:lineRule="auto"/>
        <w:ind w:left="709" w:hanging="709"/>
        <w:rPr>
          <w:rFonts w:cs="Arial"/>
          <w:szCs w:val="22"/>
        </w:rPr>
      </w:pPr>
      <w:r w:rsidRPr="009939E2">
        <w:rPr>
          <w:rFonts w:cs="Arial"/>
          <w:szCs w:val="22"/>
        </w:rPr>
        <w:t>10.1</w:t>
      </w:r>
      <w:r w:rsidRPr="009939E2">
        <w:rPr>
          <w:rFonts w:cs="Arial"/>
          <w:szCs w:val="22"/>
        </w:rPr>
        <w:tab/>
        <w:t>The types of decant will be based on the needs of the tenant</w:t>
      </w:r>
      <w:r w:rsidR="00A059AD">
        <w:rPr>
          <w:rFonts w:cs="Arial"/>
          <w:szCs w:val="22"/>
        </w:rPr>
        <w:t xml:space="preserve"> and household members</w:t>
      </w:r>
      <w:r w:rsidRPr="009939E2">
        <w:rPr>
          <w:rFonts w:cs="Arial"/>
          <w:szCs w:val="22"/>
        </w:rPr>
        <w:t xml:space="preserve"> but with a negotiated agreement which proves to be the best possible solution for all responsible parties.</w:t>
      </w:r>
    </w:p>
    <w:p w14:paraId="7CAF8EC8" w14:textId="77777777" w:rsidR="009939E2" w:rsidRPr="009939E2" w:rsidRDefault="009939E2" w:rsidP="009939E2">
      <w:pPr>
        <w:rPr>
          <w:rFonts w:cs="Arial"/>
        </w:rPr>
      </w:pPr>
    </w:p>
    <w:p w14:paraId="7605960C" w14:textId="718738FA" w:rsidR="009939E2" w:rsidRPr="009939E2" w:rsidRDefault="009939E2" w:rsidP="009939E2">
      <w:pPr>
        <w:rPr>
          <w:rFonts w:cs="Arial"/>
        </w:rPr>
      </w:pPr>
      <w:r w:rsidRPr="009939E2">
        <w:rPr>
          <w:rFonts w:cs="Arial"/>
        </w:rPr>
        <w:t xml:space="preserve">10.2 </w:t>
      </w:r>
      <w:r w:rsidRPr="009939E2">
        <w:rPr>
          <w:rFonts w:cs="Arial"/>
        </w:rPr>
        <w:tab/>
        <w:t xml:space="preserve">Decant options depending on </w:t>
      </w:r>
      <w:r w:rsidR="00AA4D35" w:rsidRPr="009939E2">
        <w:rPr>
          <w:rFonts w:cs="Arial"/>
        </w:rPr>
        <w:t>type.</w:t>
      </w:r>
      <w:r w:rsidRPr="009939E2">
        <w:rPr>
          <w:rFonts w:cs="Arial"/>
        </w:rPr>
        <w:t xml:space="preserve"> </w:t>
      </w:r>
    </w:p>
    <w:p w14:paraId="4F5A5341" w14:textId="77777777" w:rsidR="009939E2" w:rsidRPr="009939E2" w:rsidRDefault="009939E2" w:rsidP="009939E2">
      <w:pPr>
        <w:ind w:firstLine="720"/>
        <w:rPr>
          <w:rFonts w:cs="Arial"/>
        </w:rPr>
      </w:pPr>
    </w:p>
    <w:p w14:paraId="5738B90E" w14:textId="77777777" w:rsidR="009939E2" w:rsidRPr="009939E2" w:rsidRDefault="009939E2" w:rsidP="009939E2">
      <w:pPr>
        <w:pStyle w:val="ListParagraph"/>
        <w:numPr>
          <w:ilvl w:val="0"/>
          <w:numId w:val="5"/>
        </w:numPr>
        <w:spacing w:line="276" w:lineRule="auto"/>
        <w:rPr>
          <w:rFonts w:cs="Arial"/>
        </w:rPr>
      </w:pPr>
      <w:r w:rsidRPr="009939E2">
        <w:rPr>
          <w:rFonts w:cs="Arial"/>
        </w:rPr>
        <w:t xml:space="preserve">Tenant makes their own </w:t>
      </w:r>
      <w:proofErr w:type="gramStart"/>
      <w:r w:rsidRPr="009939E2">
        <w:rPr>
          <w:rFonts w:cs="Arial"/>
        </w:rPr>
        <w:t>arrangements</w:t>
      </w:r>
      <w:proofErr w:type="gramEnd"/>
    </w:p>
    <w:p w14:paraId="36204320" w14:textId="77777777" w:rsidR="009939E2" w:rsidRPr="009939E2" w:rsidRDefault="009939E2" w:rsidP="009939E2">
      <w:pPr>
        <w:pStyle w:val="ListParagraph"/>
        <w:numPr>
          <w:ilvl w:val="0"/>
          <w:numId w:val="5"/>
        </w:numPr>
        <w:spacing w:line="276" w:lineRule="auto"/>
        <w:rPr>
          <w:rFonts w:cs="Arial"/>
        </w:rPr>
      </w:pPr>
      <w:r w:rsidRPr="009939E2">
        <w:rPr>
          <w:rFonts w:cs="Arial"/>
        </w:rPr>
        <w:t xml:space="preserve">Tenant moves into a decant property provided by the </w:t>
      </w:r>
      <w:proofErr w:type="gramStart"/>
      <w:r w:rsidRPr="009939E2">
        <w:rPr>
          <w:rFonts w:cs="Arial"/>
        </w:rPr>
        <w:t>Council</w:t>
      </w:r>
      <w:proofErr w:type="gramEnd"/>
    </w:p>
    <w:p w14:paraId="0EBBF1D4" w14:textId="77777777" w:rsidR="009939E2" w:rsidRPr="009939E2" w:rsidRDefault="009939E2" w:rsidP="009939E2">
      <w:pPr>
        <w:pStyle w:val="ListParagraph"/>
        <w:numPr>
          <w:ilvl w:val="0"/>
          <w:numId w:val="5"/>
        </w:numPr>
        <w:spacing w:line="276" w:lineRule="auto"/>
        <w:rPr>
          <w:rFonts w:cs="Arial"/>
        </w:rPr>
      </w:pPr>
      <w:r w:rsidRPr="009939E2">
        <w:rPr>
          <w:rFonts w:cs="Arial"/>
        </w:rPr>
        <w:t xml:space="preserve">Tenant moves into bed and breakfast </w:t>
      </w:r>
      <w:proofErr w:type="gramStart"/>
      <w:r w:rsidRPr="009939E2">
        <w:rPr>
          <w:rFonts w:cs="Arial"/>
        </w:rPr>
        <w:t>accommodation</w:t>
      </w:r>
      <w:proofErr w:type="gramEnd"/>
    </w:p>
    <w:p w14:paraId="5B390544" w14:textId="77777777" w:rsidR="009939E2" w:rsidRPr="009939E2" w:rsidRDefault="009939E2" w:rsidP="009939E2">
      <w:pPr>
        <w:pStyle w:val="ListParagraph"/>
        <w:numPr>
          <w:ilvl w:val="0"/>
          <w:numId w:val="5"/>
        </w:numPr>
        <w:spacing w:line="276" w:lineRule="auto"/>
        <w:rPr>
          <w:rFonts w:cs="Arial"/>
        </w:rPr>
      </w:pPr>
      <w:r w:rsidRPr="009939E2">
        <w:rPr>
          <w:rFonts w:cs="Arial"/>
        </w:rPr>
        <w:t xml:space="preserve">Tenant moves into respite </w:t>
      </w:r>
      <w:proofErr w:type="gramStart"/>
      <w:r w:rsidRPr="009939E2">
        <w:rPr>
          <w:rFonts w:cs="Arial"/>
        </w:rPr>
        <w:t>care</w:t>
      </w:r>
      <w:proofErr w:type="gramEnd"/>
    </w:p>
    <w:p w14:paraId="358BE4D6" w14:textId="77777777" w:rsidR="009939E2" w:rsidRPr="009939E2" w:rsidRDefault="009939E2" w:rsidP="009939E2">
      <w:pPr>
        <w:pStyle w:val="ListParagraph"/>
        <w:numPr>
          <w:ilvl w:val="0"/>
          <w:numId w:val="5"/>
        </w:numPr>
        <w:spacing w:line="276" w:lineRule="auto"/>
        <w:rPr>
          <w:rFonts w:cs="Arial"/>
        </w:rPr>
      </w:pPr>
      <w:r w:rsidRPr="009939E2">
        <w:rPr>
          <w:rFonts w:cs="Arial"/>
        </w:rPr>
        <w:t xml:space="preserve">Holiday letting </w:t>
      </w:r>
      <w:proofErr w:type="gramStart"/>
      <w:r w:rsidRPr="009939E2">
        <w:rPr>
          <w:rFonts w:cs="Arial"/>
        </w:rPr>
        <w:t>opportunities</w:t>
      </w:r>
      <w:proofErr w:type="gramEnd"/>
    </w:p>
    <w:p w14:paraId="52D6A521" w14:textId="77777777" w:rsidR="009939E2" w:rsidRPr="009939E2" w:rsidRDefault="009939E2" w:rsidP="009939E2">
      <w:pPr>
        <w:rPr>
          <w:rFonts w:cs="Arial"/>
        </w:rPr>
      </w:pPr>
    </w:p>
    <w:p w14:paraId="0F89D675" w14:textId="39DAA791" w:rsidR="009939E2" w:rsidRPr="009939E2" w:rsidRDefault="009939E2" w:rsidP="009939E2">
      <w:pPr>
        <w:ind w:left="720" w:hanging="720"/>
        <w:rPr>
          <w:rFonts w:cs="Arial"/>
        </w:rPr>
      </w:pPr>
      <w:r w:rsidRPr="009939E2">
        <w:rPr>
          <w:rFonts w:cs="Arial"/>
        </w:rPr>
        <w:t>10.3</w:t>
      </w:r>
      <w:r w:rsidRPr="009939E2">
        <w:rPr>
          <w:rFonts w:cs="Arial"/>
        </w:rPr>
        <w:tab/>
        <w:t xml:space="preserve">The identified </w:t>
      </w:r>
      <w:r w:rsidR="00AA4D35" w:rsidRPr="009939E2">
        <w:rPr>
          <w:rFonts w:cs="Arial"/>
        </w:rPr>
        <w:t>period</w:t>
      </w:r>
      <w:r w:rsidRPr="009939E2">
        <w:rPr>
          <w:rFonts w:cs="Arial"/>
        </w:rPr>
        <w:t xml:space="preserve"> away from the permanent home will determine which decant options are appropriate. </w:t>
      </w:r>
    </w:p>
    <w:p w14:paraId="35F4F675" w14:textId="77777777" w:rsidR="009939E2" w:rsidRPr="009939E2" w:rsidRDefault="009939E2" w:rsidP="009939E2">
      <w:pPr>
        <w:ind w:left="720" w:hanging="720"/>
        <w:rPr>
          <w:rFonts w:cs="Arial"/>
        </w:rPr>
      </w:pPr>
    </w:p>
    <w:p w14:paraId="119FC9F0" w14:textId="7E07BAC2" w:rsidR="009939E2" w:rsidRPr="009939E2" w:rsidRDefault="009939E2" w:rsidP="009939E2">
      <w:pPr>
        <w:ind w:left="720" w:hanging="720"/>
        <w:rPr>
          <w:rFonts w:cs="Arial"/>
        </w:rPr>
      </w:pPr>
      <w:r w:rsidRPr="009939E2">
        <w:rPr>
          <w:rFonts w:cs="Arial"/>
        </w:rPr>
        <w:t>10.4</w:t>
      </w:r>
      <w:r w:rsidRPr="009939E2">
        <w:rPr>
          <w:rFonts w:cs="Arial"/>
        </w:rPr>
        <w:tab/>
        <w:t>As a guide, a decant period of up to 3 weeks would require B&amp;B/ hotel accommodation, respite care or arrangements to stay with friends and family</w:t>
      </w:r>
      <w:r w:rsidR="00B51298">
        <w:rPr>
          <w:rFonts w:cs="Arial"/>
        </w:rPr>
        <w:t>.</w:t>
      </w:r>
    </w:p>
    <w:p w14:paraId="3A12B116" w14:textId="77777777" w:rsidR="009939E2" w:rsidRPr="009939E2" w:rsidRDefault="009939E2" w:rsidP="009939E2">
      <w:pPr>
        <w:pStyle w:val="ListParagraph"/>
        <w:rPr>
          <w:rFonts w:cs="Arial"/>
        </w:rPr>
      </w:pPr>
    </w:p>
    <w:p w14:paraId="7A207BF8" w14:textId="3281E915" w:rsidR="009939E2" w:rsidRPr="009939E2" w:rsidRDefault="009939E2" w:rsidP="009939E2">
      <w:pPr>
        <w:spacing w:line="276" w:lineRule="auto"/>
        <w:ind w:left="720" w:hanging="720"/>
        <w:rPr>
          <w:rFonts w:cs="Arial"/>
        </w:rPr>
      </w:pPr>
      <w:r w:rsidRPr="009939E2">
        <w:rPr>
          <w:rFonts w:cs="Arial"/>
        </w:rPr>
        <w:t>10.5</w:t>
      </w:r>
      <w:r w:rsidRPr="009939E2">
        <w:rPr>
          <w:rFonts w:cs="Arial"/>
        </w:rPr>
        <w:tab/>
      </w:r>
      <w:bookmarkStart w:id="11" w:name="_Hlk97018350"/>
      <w:r w:rsidRPr="009939E2">
        <w:rPr>
          <w:rFonts w:cs="Arial"/>
        </w:rPr>
        <w:t xml:space="preserve">Where the Council is arranging alternative accommodation it will pay the costs directly as set out in appendix A. Where a household has made their own </w:t>
      </w:r>
      <w:r w:rsidR="00AA4D35" w:rsidRPr="009939E2">
        <w:rPr>
          <w:rFonts w:cs="Arial"/>
        </w:rPr>
        <w:t>arrangement,</w:t>
      </w:r>
      <w:r w:rsidRPr="009939E2">
        <w:rPr>
          <w:rFonts w:cs="Arial"/>
        </w:rPr>
        <w:t xml:space="preserve"> the Council will reimburse costs as set out in Appendix B. Where a household has</w:t>
      </w:r>
      <w:r w:rsidR="00AA4D35">
        <w:rPr>
          <w:rFonts w:cs="Arial"/>
        </w:rPr>
        <w:t xml:space="preserve"> made plans</w:t>
      </w:r>
      <w:r w:rsidRPr="009939E2">
        <w:rPr>
          <w:rFonts w:cs="Arial"/>
        </w:rPr>
        <w:t>, such as staying with a friend which has not resulted in direct measurable financial expenditure but has caused inconvenience the Council will make a good will payment as set out in Appendix C.</w:t>
      </w:r>
      <w:bookmarkEnd w:id="11"/>
      <w:r w:rsidRPr="009939E2">
        <w:rPr>
          <w:rFonts w:cs="Arial"/>
        </w:rPr>
        <w:t xml:space="preserve">  </w:t>
      </w:r>
    </w:p>
    <w:p w14:paraId="4B40D746" w14:textId="77777777" w:rsidR="009939E2" w:rsidRPr="009939E2" w:rsidRDefault="009939E2" w:rsidP="009939E2">
      <w:pPr>
        <w:rPr>
          <w:rFonts w:cs="Arial"/>
        </w:rPr>
      </w:pPr>
    </w:p>
    <w:p w14:paraId="118F6DC7" w14:textId="77777777" w:rsidR="009939E2" w:rsidRPr="009939E2" w:rsidRDefault="009939E2" w:rsidP="009939E2">
      <w:pPr>
        <w:rPr>
          <w:rFonts w:cs="Arial"/>
          <w:b/>
        </w:rPr>
      </w:pPr>
    </w:p>
    <w:p w14:paraId="46731A7F" w14:textId="77777777" w:rsidR="009939E2" w:rsidRPr="009939E2" w:rsidRDefault="009939E2" w:rsidP="009939E2">
      <w:pPr>
        <w:pStyle w:val="Heading2"/>
        <w:rPr>
          <w:rFonts w:ascii="Arial" w:hAnsi="Arial" w:cs="Arial"/>
        </w:rPr>
      </w:pPr>
      <w:bookmarkStart w:id="12" w:name="_Toc98408444"/>
      <w:r w:rsidRPr="009939E2">
        <w:rPr>
          <w:rFonts w:ascii="Arial" w:hAnsi="Arial" w:cs="Arial"/>
        </w:rPr>
        <w:lastRenderedPageBreak/>
        <w:t>11.</w:t>
      </w:r>
      <w:r w:rsidRPr="009939E2">
        <w:rPr>
          <w:rFonts w:ascii="Arial" w:hAnsi="Arial" w:cs="Arial"/>
        </w:rPr>
        <w:tab/>
        <w:t>Compensation Payments</w:t>
      </w:r>
      <w:bookmarkEnd w:id="12"/>
      <w:r w:rsidRPr="009939E2">
        <w:rPr>
          <w:rFonts w:ascii="Arial" w:hAnsi="Arial" w:cs="Arial"/>
        </w:rPr>
        <w:t xml:space="preserve"> </w:t>
      </w:r>
    </w:p>
    <w:p w14:paraId="48CC649C" w14:textId="77777777" w:rsidR="009939E2" w:rsidRPr="009939E2" w:rsidRDefault="009939E2" w:rsidP="009939E2">
      <w:pPr>
        <w:ind w:left="540" w:hanging="540"/>
        <w:rPr>
          <w:rFonts w:cs="Arial"/>
        </w:rPr>
      </w:pPr>
    </w:p>
    <w:p w14:paraId="643C92C8" w14:textId="09949AA4" w:rsidR="009939E2" w:rsidRPr="009939E2" w:rsidRDefault="009939E2" w:rsidP="009939E2">
      <w:pPr>
        <w:ind w:left="720" w:hanging="720"/>
        <w:rPr>
          <w:rFonts w:cs="Arial"/>
          <w:szCs w:val="22"/>
        </w:rPr>
      </w:pPr>
      <w:r w:rsidRPr="009939E2">
        <w:rPr>
          <w:rFonts w:cs="Arial"/>
          <w:szCs w:val="22"/>
        </w:rPr>
        <w:t>11.1</w:t>
      </w:r>
      <w:r w:rsidRPr="009939E2">
        <w:rPr>
          <w:rFonts w:cs="Arial"/>
          <w:szCs w:val="22"/>
        </w:rPr>
        <w:tab/>
        <w:t>Details of eligible payments are set out in Appendix A – C of this policy</w:t>
      </w:r>
      <w:r w:rsidR="00B51298">
        <w:rPr>
          <w:rFonts w:cs="Arial"/>
          <w:szCs w:val="22"/>
        </w:rPr>
        <w:t>.</w:t>
      </w:r>
    </w:p>
    <w:p w14:paraId="02D7E1E5" w14:textId="77777777" w:rsidR="009939E2" w:rsidRPr="009939E2" w:rsidRDefault="009939E2" w:rsidP="009939E2">
      <w:pPr>
        <w:pStyle w:val="ListParagraph"/>
        <w:rPr>
          <w:rFonts w:cs="Arial"/>
          <w:szCs w:val="22"/>
        </w:rPr>
      </w:pPr>
    </w:p>
    <w:p w14:paraId="2F01BC80" w14:textId="5295D950" w:rsidR="009939E2" w:rsidRPr="009939E2" w:rsidRDefault="009939E2" w:rsidP="009939E2">
      <w:pPr>
        <w:spacing w:line="276" w:lineRule="auto"/>
        <w:ind w:left="720" w:hanging="720"/>
        <w:rPr>
          <w:rFonts w:cs="Arial"/>
          <w:szCs w:val="22"/>
        </w:rPr>
      </w:pPr>
      <w:r w:rsidRPr="009939E2">
        <w:rPr>
          <w:rFonts w:cs="Arial"/>
          <w:szCs w:val="22"/>
        </w:rPr>
        <w:t>11.2</w:t>
      </w:r>
      <w:r w:rsidRPr="009939E2">
        <w:rPr>
          <w:rFonts w:cs="Arial"/>
          <w:szCs w:val="22"/>
        </w:rPr>
        <w:tab/>
        <w:t>Agreed</w:t>
      </w:r>
      <w:r w:rsidR="002B493F">
        <w:rPr>
          <w:rFonts w:cs="Arial"/>
          <w:szCs w:val="22"/>
        </w:rPr>
        <w:t xml:space="preserve"> </w:t>
      </w:r>
      <w:r w:rsidRPr="009939E2">
        <w:rPr>
          <w:rFonts w:cs="Arial"/>
          <w:szCs w:val="22"/>
        </w:rPr>
        <w:t xml:space="preserve">payments will usually be made in two parts. The first </w:t>
      </w:r>
      <w:r w:rsidR="002B493F" w:rsidRPr="009939E2">
        <w:rPr>
          <w:rFonts w:cs="Arial"/>
          <w:szCs w:val="22"/>
        </w:rPr>
        <w:t>instalment</w:t>
      </w:r>
      <w:r w:rsidRPr="009939E2">
        <w:rPr>
          <w:rFonts w:cs="Arial"/>
          <w:szCs w:val="22"/>
        </w:rPr>
        <w:t xml:space="preserve"> to be paid to the tenant on moving into the decant property, and a subsequent payment of to be paid when the tenant returns to their property. </w:t>
      </w:r>
    </w:p>
    <w:p w14:paraId="70A937B7" w14:textId="77777777" w:rsidR="009939E2" w:rsidRPr="009939E2" w:rsidRDefault="009939E2" w:rsidP="009939E2">
      <w:pPr>
        <w:spacing w:line="276" w:lineRule="auto"/>
        <w:ind w:left="720" w:hanging="720"/>
        <w:rPr>
          <w:rFonts w:cs="Arial"/>
          <w:szCs w:val="22"/>
        </w:rPr>
      </w:pPr>
    </w:p>
    <w:p w14:paraId="26CB67AF" w14:textId="013A8116" w:rsidR="009939E2" w:rsidRPr="009939E2" w:rsidRDefault="009939E2" w:rsidP="009939E2">
      <w:pPr>
        <w:spacing w:line="276" w:lineRule="auto"/>
        <w:ind w:left="720" w:hanging="720"/>
        <w:rPr>
          <w:rFonts w:cs="Arial"/>
          <w:szCs w:val="22"/>
        </w:rPr>
      </w:pPr>
      <w:r w:rsidRPr="009939E2">
        <w:rPr>
          <w:rFonts w:cs="Arial"/>
          <w:szCs w:val="22"/>
        </w:rPr>
        <w:t xml:space="preserve">11.3 </w:t>
      </w:r>
      <w:r w:rsidRPr="009939E2">
        <w:rPr>
          <w:rFonts w:cs="Arial"/>
          <w:szCs w:val="22"/>
        </w:rPr>
        <w:tab/>
        <w:t xml:space="preserve">During the decant period, the tenant is required to continue to make rent payments to the rent account on their </w:t>
      </w:r>
      <w:r w:rsidR="002B493F" w:rsidRPr="009939E2">
        <w:rPr>
          <w:rFonts w:cs="Arial"/>
          <w:szCs w:val="22"/>
        </w:rPr>
        <w:t>permanent</w:t>
      </w:r>
      <w:r w:rsidRPr="009939E2">
        <w:rPr>
          <w:rFonts w:cs="Arial"/>
          <w:szCs w:val="22"/>
        </w:rPr>
        <w:t xml:space="preserve"> home, and the rent due on the decant property is covered by the Council by way of an adjustment. </w:t>
      </w:r>
      <w:r w:rsidRPr="009939E2">
        <w:rPr>
          <w:rFonts w:cs="Arial"/>
        </w:rPr>
        <w:t xml:space="preserve"> </w:t>
      </w:r>
    </w:p>
    <w:p w14:paraId="64557652" w14:textId="77777777" w:rsidR="009939E2" w:rsidRPr="009939E2" w:rsidRDefault="009939E2" w:rsidP="009939E2">
      <w:pPr>
        <w:ind w:left="720" w:hanging="720"/>
        <w:rPr>
          <w:rFonts w:cs="Arial"/>
        </w:rPr>
      </w:pPr>
    </w:p>
    <w:p w14:paraId="3DA90826" w14:textId="77777777" w:rsidR="009939E2" w:rsidRPr="009939E2" w:rsidRDefault="009939E2" w:rsidP="009939E2">
      <w:pPr>
        <w:spacing w:after="200" w:line="276" w:lineRule="auto"/>
        <w:rPr>
          <w:rFonts w:cs="Arial"/>
        </w:rPr>
      </w:pPr>
      <w:r w:rsidRPr="009939E2">
        <w:rPr>
          <w:rFonts w:cs="Arial"/>
        </w:rPr>
        <w:t xml:space="preserve">11.4 </w:t>
      </w:r>
      <w:r w:rsidRPr="009939E2">
        <w:rPr>
          <w:rFonts w:cs="Arial"/>
        </w:rPr>
        <w:tab/>
        <w:t xml:space="preserve">Payments will usually be made by bank transfer. </w:t>
      </w:r>
    </w:p>
    <w:p w14:paraId="18AA63E9" w14:textId="77777777" w:rsidR="009939E2" w:rsidRPr="009939E2" w:rsidRDefault="009939E2" w:rsidP="009939E2">
      <w:pPr>
        <w:spacing w:after="200" w:line="276" w:lineRule="auto"/>
        <w:rPr>
          <w:rFonts w:cs="Arial"/>
        </w:rPr>
      </w:pPr>
      <w:r w:rsidRPr="009939E2">
        <w:rPr>
          <w:rFonts w:cs="Arial"/>
        </w:rPr>
        <w:t>11.5</w:t>
      </w:r>
      <w:r w:rsidRPr="009939E2">
        <w:rPr>
          <w:rFonts w:cs="Arial"/>
        </w:rPr>
        <w:tab/>
        <w:t xml:space="preserve">There will only be one payment per household, including split households. </w:t>
      </w:r>
    </w:p>
    <w:p w14:paraId="543F9B3E" w14:textId="58445F2E" w:rsidR="009939E2" w:rsidRPr="009939E2" w:rsidRDefault="009939E2" w:rsidP="002B493F">
      <w:pPr>
        <w:spacing w:after="200" w:line="276" w:lineRule="auto"/>
        <w:rPr>
          <w:rFonts w:cs="Arial"/>
        </w:rPr>
      </w:pPr>
      <w:r w:rsidRPr="009939E2">
        <w:rPr>
          <w:rFonts w:cs="Arial"/>
        </w:rPr>
        <w:t>11.6</w:t>
      </w:r>
      <w:r w:rsidRPr="009939E2">
        <w:rPr>
          <w:rFonts w:cs="Arial"/>
        </w:rPr>
        <w:tab/>
        <w:t>Payments will only be paid to the tenant/s who have signed the tenancy agreement.</w:t>
      </w:r>
    </w:p>
    <w:p w14:paraId="27336FEB" w14:textId="77777777" w:rsidR="009939E2" w:rsidRPr="009939E2" w:rsidRDefault="009939E2" w:rsidP="009939E2">
      <w:pPr>
        <w:ind w:left="720" w:hanging="720"/>
        <w:rPr>
          <w:rFonts w:cs="Arial"/>
        </w:rPr>
      </w:pPr>
      <w:r w:rsidRPr="009939E2">
        <w:rPr>
          <w:rFonts w:cs="Arial"/>
        </w:rPr>
        <w:t>11.7</w:t>
      </w:r>
      <w:r w:rsidRPr="009939E2">
        <w:rPr>
          <w:rFonts w:cs="Arial"/>
        </w:rPr>
        <w:tab/>
        <w:t>Where a tenant is in arrears with the council, a discussion with the responsible parties will lead to agreement as to whether there is full or part offsetting of any arrears.</w:t>
      </w:r>
    </w:p>
    <w:p w14:paraId="7B594E67" w14:textId="77777777" w:rsidR="009939E2" w:rsidRPr="009939E2" w:rsidRDefault="009939E2" w:rsidP="009939E2">
      <w:pPr>
        <w:rPr>
          <w:rFonts w:cs="Arial"/>
          <w:b/>
          <w:szCs w:val="22"/>
        </w:rPr>
      </w:pPr>
    </w:p>
    <w:p w14:paraId="263FBB2B" w14:textId="77777777" w:rsidR="009939E2" w:rsidRPr="009939E2" w:rsidRDefault="009939E2" w:rsidP="009939E2">
      <w:pPr>
        <w:ind w:left="720" w:hanging="720"/>
        <w:rPr>
          <w:rFonts w:cs="Arial"/>
        </w:rPr>
      </w:pPr>
    </w:p>
    <w:p w14:paraId="75FC1584" w14:textId="0F084BE7" w:rsidR="009939E2" w:rsidRPr="009939E2" w:rsidRDefault="009939E2" w:rsidP="009939E2">
      <w:pPr>
        <w:pStyle w:val="Heading2"/>
        <w:rPr>
          <w:rFonts w:ascii="Arial" w:hAnsi="Arial" w:cs="Arial"/>
        </w:rPr>
      </w:pPr>
      <w:bookmarkStart w:id="13" w:name="_Toc98408445"/>
      <w:r w:rsidRPr="009939E2">
        <w:rPr>
          <w:rFonts w:ascii="Arial" w:hAnsi="Arial" w:cs="Arial"/>
        </w:rPr>
        <w:t xml:space="preserve">12.   </w:t>
      </w:r>
      <w:r w:rsidRPr="009939E2">
        <w:rPr>
          <w:rFonts w:ascii="Arial" w:hAnsi="Arial" w:cs="Arial"/>
        </w:rPr>
        <w:tab/>
        <w:t xml:space="preserve">Offer of </w:t>
      </w:r>
      <w:r w:rsidR="002B493F" w:rsidRPr="009939E2">
        <w:rPr>
          <w:rFonts w:ascii="Arial" w:hAnsi="Arial" w:cs="Arial"/>
        </w:rPr>
        <w:t>Accommodation</w:t>
      </w:r>
      <w:bookmarkEnd w:id="13"/>
      <w:r w:rsidRPr="009939E2">
        <w:rPr>
          <w:rFonts w:ascii="Arial" w:hAnsi="Arial" w:cs="Arial"/>
        </w:rPr>
        <w:t xml:space="preserve"> </w:t>
      </w:r>
      <w:r w:rsidRPr="009939E2">
        <w:rPr>
          <w:rFonts w:ascii="Arial" w:hAnsi="Arial" w:cs="Arial"/>
        </w:rPr>
        <w:tab/>
      </w:r>
      <w:r w:rsidRPr="009939E2">
        <w:rPr>
          <w:rFonts w:ascii="Arial" w:hAnsi="Arial" w:cs="Arial"/>
        </w:rPr>
        <w:tab/>
      </w:r>
    </w:p>
    <w:p w14:paraId="62D2724B" w14:textId="77777777" w:rsidR="009939E2" w:rsidRPr="009939E2" w:rsidRDefault="009939E2" w:rsidP="009939E2">
      <w:pPr>
        <w:rPr>
          <w:rFonts w:cs="Arial"/>
        </w:rPr>
      </w:pPr>
    </w:p>
    <w:p w14:paraId="3E77A580" w14:textId="186623D3" w:rsidR="009939E2" w:rsidRPr="009939E2" w:rsidRDefault="009939E2" w:rsidP="009939E2">
      <w:pPr>
        <w:spacing w:after="200" w:line="276" w:lineRule="auto"/>
        <w:ind w:left="709" w:hanging="709"/>
        <w:rPr>
          <w:rFonts w:cs="Arial"/>
        </w:rPr>
      </w:pPr>
      <w:r w:rsidRPr="009939E2">
        <w:rPr>
          <w:rFonts w:cs="Arial"/>
        </w:rPr>
        <w:t xml:space="preserve">12.1 </w:t>
      </w:r>
      <w:r w:rsidRPr="009939E2">
        <w:rPr>
          <w:rFonts w:cs="Arial"/>
        </w:rPr>
        <w:tab/>
        <w:t xml:space="preserve">The offer of a decant property will be </w:t>
      </w:r>
      <w:r w:rsidR="002B493F" w:rsidRPr="009939E2">
        <w:rPr>
          <w:rFonts w:cs="Arial"/>
        </w:rPr>
        <w:t>based on</w:t>
      </w:r>
      <w:r w:rsidRPr="009939E2">
        <w:rPr>
          <w:rFonts w:cs="Arial"/>
        </w:rPr>
        <w:t xml:space="preserve"> the housing need and circumstances of the tenant and/or members of the household.  For example, if a tenant is currently living in a </w:t>
      </w:r>
      <w:r w:rsidR="002B493F" w:rsidRPr="009939E2">
        <w:rPr>
          <w:rFonts w:cs="Arial"/>
        </w:rPr>
        <w:t>three-bedroom</w:t>
      </w:r>
      <w:r w:rsidRPr="009939E2">
        <w:rPr>
          <w:rFonts w:cs="Arial"/>
        </w:rPr>
        <w:t xml:space="preserve"> property but only needs two bedrooms then a </w:t>
      </w:r>
      <w:proofErr w:type="gramStart"/>
      <w:r w:rsidRPr="009939E2">
        <w:rPr>
          <w:rFonts w:cs="Arial"/>
        </w:rPr>
        <w:t>two bedroom</w:t>
      </w:r>
      <w:proofErr w:type="gramEnd"/>
      <w:r w:rsidRPr="009939E2">
        <w:rPr>
          <w:rFonts w:cs="Arial"/>
        </w:rPr>
        <w:t xml:space="preserve"> property may be offered. </w:t>
      </w:r>
    </w:p>
    <w:p w14:paraId="0F14FBD1" w14:textId="77777777" w:rsidR="009939E2" w:rsidRPr="009939E2" w:rsidRDefault="009939E2" w:rsidP="009939E2">
      <w:pPr>
        <w:spacing w:after="200" w:line="276" w:lineRule="auto"/>
        <w:ind w:left="709" w:hanging="709"/>
        <w:rPr>
          <w:rFonts w:cs="Arial"/>
        </w:rPr>
      </w:pPr>
      <w:r w:rsidRPr="009939E2">
        <w:rPr>
          <w:rFonts w:cs="Arial"/>
        </w:rPr>
        <w:t xml:space="preserve">12.2 </w:t>
      </w:r>
      <w:r w:rsidRPr="009939E2">
        <w:rPr>
          <w:rFonts w:cs="Arial"/>
        </w:rPr>
        <w:tab/>
        <w:t>One offer of accommodation will usually be made by the Council in consultation with the tenant.  Specific consideration will be given to:</w:t>
      </w:r>
    </w:p>
    <w:p w14:paraId="330D2C03" w14:textId="77777777" w:rsidR="009939E2" w:rsidRPr="009939E2" w:rsidRDefault="009939E2" w:rsidP="009939E2">
      <w:pPr>
        <w:pStyle w:val="ListParagraph"/>
        <w:numPr>
          <w:ilvl w:val="0"/>
          <w:numId w:val="7"/>
        </w:numPr>
        <w:spacing w:after="200" w:line="276" w:lineRule="auto"/>
        <w:rPr>
          <w:rFonts w:cs="Arial"/>
        </w:rPr>
      </w:pPr>
      <w:r w:rsidRPr="009939E2">
        <w:rPr>
          <w:rFonts w:cs="Arial"/>
        </w:rPr>
        <w:t>The size of accommodation</w:t>
      </w:r>
    </w:p>
    <w:p w14:paraId="1B5E3394" w14:textId="77777777" w:rsidR="009939E2" w:rsidRPr="009939E2" w:rsidRDefault="009939E2" w:rsidP="009939E2">
      <w:pPr>
        <w:pStyle w:val="ListParagraph"/>
        <w:numPr>
          <w:ilvl w:val="0"/>
          <w:numId w:val="7"/>
        </w:numPr>
        <w:spacing w:after="200" w:line="276" w:lineRule="auto"/>
        <w:rPr>
          <w:rFonts w:cs="Arial"/>
        </w:rPr>
      </w:pPr>
      <w:r w:rsidRPr="009939E2">
        <w:rPr>
          <w:rFonts w:cs="Arial"/>
        </w:rPr>
        <w:t>The distance of the accommodation from the place of work or education</w:t>
      </w:r>
    </w:p>
    <w:p w14:paraId="07ED68FF" w14:textId="3DF80AC9" w:rsidR="009939E2" w:rsidRPr="009939E2" w:rsidRDefault="009939E2" w:rsidP="009939E2">
      <w:pPr>
        <w:pStyle w:val="ListParagraph"/>
        <w:numPr>
          <w:ilvl w:val="0"/>
          <w:numId w:val="7"/>
        </w:numPr>
        <w:spacing w:after="200" w:line="276" w:lineRule="auto"/>
        <w:rPr>
          <w:rFonts w:cs="Arial"/>
        </w:rPr>
      </w:pPr>
      <w:r w:rsidRPr="009939E2">
        <w:rPr>
          <w:rFonts w:cs="Arial"/>
        </w:rPr>
        <w:t xml:space="preserve">The distance from the home of any member of the tenant’s family if proximity is a consideration to the </w:t>
      </w:r>
      <w:r w:rsidR="002B493F" w:rsidRPr="009939E2">
        <w:rPr>
          <w:rFonts w:cs="Arial"/>
        </w:rPr>
        <w:t>wellbeing</w:t>
      </w:r>
      <w:r w:rsidRPr="009939E2">
        <w:rPr>
          <w:rFonts w:cs="Arial"/>
        </w:rPr>
        <w:t xml:space="preserve"> of the tenant or their family. </w:t>
      </w:r>
    </w:p>
    <w:p w14:paraId="39E1A2E7" w14:textId="77777777" w:rsidR="009939E2" w:rsidRPr="009939E2" w:rsidRDefault="009939E2" w:rsidP="009939E2">
      <w:pPr>
        <w:pStyle w:val="ListParagraph"/>
        <w:rPr>
          <w:rFonts w:cs="Arial"/>
        </w:rPr>
      </w:pPr>
    </w:p>
    <w:p w14:paraId="20334E76" w14:textId="18BB9016" w:rsidR="009939E2" w:rsidRPr="009939E2" w:rsidRDefault="009939E2" w:rsidP="009939E2">
      <w:pPr>
        <w:ind w:left="720" w:hanging="720"/>
        <w:rPr>
          <w:rFonts w:cs="Arial"/>
        </w:rPr>
      </w:pPr>
      <w:r w:rsidRPr="009939E2">
        <w:rPr>
          <w:rFonts w:cs="Arial"/>
        </w:rPr>
        <w:t xml:space="preserve">12.3 </w:t>
      </w:r>
      <w:r w:rsidRPr="009939E2">
        <w:rPr>
          <w:rFonts w:cs="Arial"/>
        </w:rPr>
        <w:tab/>
        <w:t xml:space="preserve">Whilst every effort will be made to identify suitable alternative accommodation, this will be subject to vacancies that arise within the housing stock in the normal way.  Tenants will be encouraged to be as flexible as possible about decant locations given the </w:t>
      </w:r>
      <w:r w:rsidR="002B493F" w:rsidRPr="009939E2">
        <w:rPr>
          <w:rFonts w:cs="Arial"/>
        </w:rPr>
        <w:t>short-term</w:t>
      </w:r>
      <w:r w:rsidRPr="009939E2">
        <w:rPr>
          <w:rFonts w:cs="Arial"/>
        </w:rPr>
        <w:t xml:space="preserve"> nature of the move. </w:t>
      </w:r>
    </w:p>
    <w:p w14:paraId="6B55D6D6" w14:textId="77777777" w:rsidR="009939E2" w:rsidRPr="009939E2" w:rsidRDefault="009939E2" w:rsidP="009939E2">
      <w:pPr>
        <w:pStyle w:val="ListParagraph"/>
        <w:rPr>
          <w:rFonts w:cs="Arial"/>
        </w:rPr>
      </w:pPr>
    </w:p>
    <w:p w14:paraId="571FC501" w14:textId="77777777" w:rsidR="009939E2" w:rsidRPr="009939E2" w:rsidRDefault="009939E2" w:rsidP="009939E2">
      <w:pPr>
        <w:spacing w:after="200" w:line="276" w:lineRule="auto"/>
        <w:ind w:left="720" w:hanging="720"/>
        <w:rPr>
          <w:rFonts w:cs="Arial"/>
        </w:rPr>
      </w:pPr>
      <w:r w:rsidRPr="009939E2">
        <w:rPr>
          <w:rFonts w:cs="Arial"/>
        </w:rPr>
        <w:t xml:space="preserve">12.4 </w:t>
      </w:r>
      <w:r w:rsidRPr="009939E2">
        <w:rPr>
          <w:rFonts w:cs="Arial"/>
        </w:rPr>
        <w:tab/>
        <w:t>Where a tenant refuses to move or has refused the offer of other suitable alternative accommodation, the Council may:</w:t>
      </w:r>
    </w:p>
    <w:p w14:paraId="78D59B8A" w14:textId="0C9C4426" w:rsidR="009939E2" w:rsidRPr="009939E2" w:rsidRDefault="009939E2" w:rsidP="009939E2">
      <w:pPr>
        <w:pStyle w:val="ListParagraph"/>
        <w:numPr>
          <w:ilvl w:val="0"/>
          <w:numId w:val="7"/>
        </w:numPr>
        <w:spacing w:after="200" w:line="276" w:lineRule="auto"/>
        <w:rPr>
          <w:rFonts w:cs="Arial"/>
        </w:rPr>
      </w:pPr>
      <w:r w:rsidRPr="009939E2">
        <w:rPr>
          <w:rFonts w:cs="Arial"/>
        </w:rPr>
        <w:t xml:space="preserve">Commence legal action to ensure works can be completed if </w:t>
      </w:r>
      <w:r w:rsidR="00C005B5">
        <w:rPr>
          <w:rFonts w:cs="Arial"/>
        </w:rPr>
        <w:t xml:space="preserve">essential </w:t>
      </w:r>
      <w:r w:rsidRPr="009939E2">
        <w:rPr>
          <w:rFonts w:cs="Arial"/>
        </w:rPr>
        <w:t xml:space="preserve">health and safety items are </w:t>
      </w:r>
      <w:proofErr w:type="gramStart"/>
      <w:r w:rsidRPr="009939E2">
        <w:rPr>
          <w:rFonts w:cs="Arial"/>
        </w:rPr>
        <w:t>required</w:t>
      </w:r>
      <w:proofErr w:type="gramEnd"/>
    </w:p>
    <w:p w14:paraId="35BCF7B7" w14:textId="6E935FF3" w:rsidR="009939E2" w:rsidRDefault="009939E2" w:rsidP="009939E2">
      <w:pPr>
        <w:pStyle w:val="ListParagraph"/>
        <w:numPr>
          <w:ilvl w:val="0"/>
          <w:numId w:val="7"/>
        </w:numPr>
        <w:spacing w:after="200" w:line="276" w:lineRule="auto"/>
        <w:rPr>
          <w:rFonts w:cs="Arial"/>
        </w:rPr>
      </w:pPr>
      <w:r w:rsidRPr="009939E2">
        <w:rPr>
          <w:rFonts w:cs="Arial"/>
        </w:rPr>
        <w:t>Inform the tenant that the scheduled works will not be undertaken.</w:t>
      </w:r>
    </w:p>
    <w:p w14:paraId="7E2DA34E" w14:textId="3F07DDFB" w:rsidR="009939E2" w:rsidRPr="002B493F" w:rsidRDefault="002B493F" w:rsidP="002B493F">
      <w:pPr>
        <w:spacing w:after="200" w:line="276" w:lineRule="auto"/>
        <w:ind w:left="720" w:hanging="720"/>
        <w:rPr>
          <w:rFonts w:cs="Arial"/>
        </w:rPr>
      </w:pPr>
      <w:r>
        <w:rPr>
          <w:rFonts w:cs="Arial"/>
        </w:rPr>
        <w:lastRenderedPageBreak/>
        <w:t>12.5</w:t>
      </w:r>
      <w:r>
        <w:rPr>
          <w:rFonts w:cs="Arial"/>
        </w:rPr>
        <w:tab/>
        <w:t>There may be the occasions where a permanent move is made to facilitate works (see Section 9)</w:t>
      </w:r>
    </w:p>
    <w:p w14:paraId="0AA6354C" w14:textId="77777777" w:rsidR="002B493F" w:rsidRPr="009939E2" w:rsidRDefault="002B493F" w:rsidP="009939E2">
      <w:pPr>
        <w:rPr>
          <w:rFonts w:cs="Arial"/>
          <w:sz w:val="24"/>
          <w:szCs w:val="24"/>
        </w:rPr>
      </w:pPr>
    </w:p>
    <w:p w14:paraId="37DEEB83" w14:textId="2BDBA919" w:rsidR="009939E2" w:rsidRPr="009939E2" w:rsidRDefault="009939E2" w:rsidP="009939E2">
      <w:pPr>
        <w:pStyle w:val="Heading2"/>
        <w:rPr>
          <w:rFonts w:ascii="Arial" w:hAnsi="Arial" w:cs="Arial"/>
        </w:rPr>
      </w:pPr>
      <w:bookmarkStart w:id="14" w:name="_Toc98408446"/>
      <w:r w:rsidRPr="009939E2">
        <w:rPr>
          <w:rFonts w:ascii="Arial" w:hAnsi="Arial" w:cs="Arial"/>
        </w:rPr>
        <w:t xml:space="preserve">14. </w:t>
      </w:r>
      <w:r w:rsidR="002B493F">
        <w:rPr>
          <w:rFonts w:ascii="Arial" w:hAnsi="Arial" w:cs="Arial"/>
        </w:rPr>
        <w:tab/>
      </w:r>
      <w:r w:rsidRPr="009939E2">
        <w:rPr>
          <w:rFonts w:ascii="Arial" w:hAnsi="Arial" w:cs="Arial"/>
        </w:rPr>
        <w:t>Equality and Diversity</w:t>
      </w:r>
      <w:bookmarkEnd w:id="14"/>
    </w:p>
    <w:p w14:paraId="7DFDC3F2" w14:textId="77777777" w:rsidR="009939E2" w:rsidRPr="009939E2" w:rsidRDefault="009939E2" w:rsidP="009939E2">
      <w:pPr>
        <w:rPr>
          <w:rFonts w:cs="Arial"/>
        </w:rPr>
      </w:pPr>
    </w:p>
    <w:p w14:paraId="0B53266F" w14:textId="77777777" w:rsidR="009939E2" w:rsidRPr="009939E2" w:rsidRDefault="009939E2" w:rsidP="009939E2">
      <w:pPr>
        <w:ind w:left="720" w:hanging="720"/>
        <w:rPr>
          <w:rFonts w:cs="Arial"/>
          <w:szCs w:val="22"/>
        </w:rPr>
      </w:pPr>
      <w:r w:rsidRPr="009939E2">
        <w:rPr>
          <w:rFonts w:cs="Arial"/>
          <w:szCs w:val="22"/>
        </w:rPr>
        <w:t>14.1</w:t>
      </w:r>
      <w:r w:rsidRPr="009939E2">
        <w:rPr>
          <w:rFonts w:cs="Arial"/>
          <w:szCs w:val="22"/>
        </w:rPr>
        <w:tab/>
        <w:t xml:space="preserve">We aim to ensure that our policies and procedures are fair and transparent; and that we work towards achieving balanced and sustainable communities in accordance with our equality and diversity goals. This policy has been subject to the Council’s EIA screening matrix which identified that the policy has no negative impact on any protected group.  </w:t>
      </w:r>
    </w:p>
    <w:p w14:paraId="0FF62C32" w14:textId="25A52F57" w:rsidR="009939E2" w:rsidRDefault="009939E2" w:rsidP="009939E2">
      <w:pPr>
        <w:ind w:left="720" w:hanging="720"/>
        <w:rPr>
          <w:rFonts w:cs="Arial"/>
        </w:rPr>
      </w:pPr>
    </w:p>
    <w:p w14:paraId="4D15E908" w14:textId="77777777" w:rsidR="009C056B" w:rsidRPr="009939E2" w:rsidRDefault="009C056B" w:rsidP="009939E2">
      <w:pPr>
        <w:ind w:left="720" w:hanging="720"/>
        <w:rPr>
          <w:rFonts w:cs="Arial"/>
        </w:rPr>
      </w:pPr>
    </w:p>
    <w:p w14:paraId="720A32A8" w14:textId="77777777" w:rsidR="009939E2" w:rsidRPr="009939E2" w:rsidRDefault="009939E2" w:rsidP="009939E2">
      <w:pPr>
        <w:pStyle w:val="Heading2"/>
        <w:rPr>
          <w:rFonts w:ascii="Arial" w:hAnsi="Arial" w:cs="Arial"/>
        </w:rPr>
      </w:pPr>
      <w:bookmarkStart w:id="15" w:name="_Toc98408447"/>
      <w:r w:rsidRPr="009939E2">
        <w:rPr>
          <w:rFonts w:ascii="Arial" w:hAnsi="Arial" w:cs="Arial"/>
        </w:rPr>
        <w:t>15.</w:t>
      </w:r>
      <w:r w:rsidRPr="009939E2">
        <w:rPr>
          <w:rFonts w:ascii="Arial" w:hAnsi="Arial" w:cs="Arial"/>
        </w:rPr>
        <w:tab/>
        <w:t>Implementation and Monitoring</w:t>
      </w:r>
      <w:bookmarkEnd w:id="15"/>
    </w:p>
    <w:p w14:paraId="0C465597" w14:textId="77777777" w:rsidR="009939E2" w:rsidRPr="009939E2" w:rsidRDefault="009939E2" w:rsidP="009939E2">
      <w:pPr>
        <w:ind w:left="720" w:hanging="720"/>
        <w:rPr>
          <w:rFonts w:cs="Arial"/>
          <w:b/>
        </w:rPr>
      </w:pPr>
    </w:p>
    <w:p w14:paraId="014E2D65" w14:textId="77777777" w:rsidR="009939E2" w:rsidRPr="009939E2" w:rsidRDefault="009939E2" w:rsidP="009939E2">
      <w:pPr>
        <w:ind w:left="720" w:hanging="720"/>
        <w:rPr>
          <w:rFonts w:cs="Arial"/>
          <w:szCs w:val="22"/>
        </w:rPr>
      </w:pPr>
      <w:r w:rsidRPr="009939E2">
        <w:rPr>
          <w:rFonts w:cs="Arial"/>
          <w:szCs w:val="22"/>
        </w:rPr>
        <w:t>15.1</w:t>
      </w:r>
      <w:r w:rsidRPr="009939E2">
        <w:rPr>
          <w:rFonts w:cs="Arial"/>
          <w:szCs w:val="22"/>
        </w:rPr>
        <w:tab/>
        <w:t>The Strategic Director of Housing and Customer Services is responsible for the implementation and monitoring of this policy.</w:t>
      </w:r>
    </w:p>
    <w:p w14:paraId="63DF5533" w14:textId="77777777" w:rsidR="009939E2" w:rsidRPr="009939E2" w:rsidRDefault="009939E2" w:rsidP="009939E2">
      <w:pPr>
        <w:rPr>
          <w:rFonts w:cs="Arial"/>
          <w:szCs w:val="22"/>
        </w:rPr>
      </w:pPr>
    </w:p>
    <w:p w14:paraId="09D48446" w14:textId="77777777" w:rsidR="009939E2" w:rsidRPr="009939E2" w:rsidRDefault="009939E2" w:rsidP="009939E2">
      <w:pPr>
        <w:rPr>
          <w:rFonts w:cs="Arial"/>
        </w:rPr>
      </w:pPr>
    </w:p>
    <w:p w14:paraId="38E31B17" w14:textId="77777777" w:rsidR="009939E2" w:rsidRPr="009939E2" w:rsidRDefault="009939E2" w:rsidP="009939E2">
      <w:pPr>
        <w:pStyle w:val="Heading2"/>
        <w:rPr>
          <w:rFonts w:ascii="Arial" w:hAnsi="Arial" w:cs="Arial"/>
        </w:rPr>
      </w:pPr>
      <w:bookmarkStart w:id="16" w:name="_Toc98408448"/>
      <w:r w:rsidRPr="009939E2">
        <w:rPr>
          <w:rFonts w:ascii="Arial" w:hAnsi="Arial" w:cs="Arial"/>
        </w:rPr>
        <w:t>16.</w:t>
      </w:r>
      <w:r w:rsidRPr="009939E2">
        <w:rPr>
          <w:rFonts w:ascii="Arial" w:hAnsi="Arial" w:cs="Arial"/>
        </w:rPr>
        <w:tab/>
        <w:t>KPIs</w:t>
      </w:r>
      <w:bookmarkEnd w:id="16"/>
    </w:p>
    <w:p w14:paraId="7B931AE4" w14:textId="77777777" w:rsidR="009939E2" w:rsidRPr="009939E2" w:rsidRDefault="009939E2" w:rsidP="009939E2">
      <w:pPr>
        <w:rPr>
          <w:rFonts w:cs="Arial"/>
        </w:rPr>
      </w:pPr>
    </w:p>
    <w:p w14:paraId="557B9F5A" w14:textId="77777777" w:rsidR="009939E2" w:rsidRPr="009939E2" w:rsidRDefault="009939E2" w:rsidP="009939E2">
      <w:pPr>
        <w:ind w:left="720" w:hanging="720"/>
        <w:rPr>
          <w:rFonts w:cs="Arial"/>
        </w:rPr>
      </w:pPr>
      <w:r w:rsidRPr="009939E2">
        <w:rPr>
          <w:rFonts w:cs="Arial"/>
          <w:lang w:val="en-US"/>
        </w:rPr>
        <w:t xml:space="preserve">16.1 </w:t>
      </w:r>
      <w:r w:rsidRPr="009939E2">
        <w:rPr>
          <w:rFonts w:cs="Arial"/>
          <w:lang w:val="en-US"/>
        </w:rPr>
        <w:tab/>
        <w:t>T</w:t>
      </w:r>
      <w:r w:rsidRPr="009939E2">
        <w:rPr>
          <w:rFonts w:cs="Arial"/>
        </w:rPr>
        <w:t xml:space="preserve">he delivery of this policy and the overall success will be monitored by using a mixture of indicators aimed at measuring success and speed of internal processes, such as: </w:t>
      </w:r>
    </w:p>
    <w:p w14:paraId="029D29B9" w14:textId="77777777" w:rsidR="009939E2" w:rsidRPr="009939E2" w:rsidRDefault="009939E2" w:rsidP="009939E2">
      <w:pPr>
        <w:rPr>
          <w:rFonts w:cs="Arial"/>
          <w:lang w:val="en-US"/>
        </w:rPr>
      </w:pPr>
      <w:r w:rsidRPr="009939E2">
        <w:rPr>
          <w:rFonts w:cs="Arial"/>
          <w:lang w:val="en-US"/>
        </w:rPr>
        <w:tab/>
      </w:r>
    </w:p>
    <w:p w14:paraId="62565281" w14:textId="77777777" w:rsidR="009939E2" w:rsidRPr="009939E2" w:rsidRDefault="009939E2" w:rsidP="009939E2">
      <w:pPr>
        <w:pStyle w:val="ListParagraph"/>
        <w:numPr>
          <w:ilvl w:val="0"/>
          <w:numId w:val="7"/>
        </w:numPr>
        <w:spacing w:line="276" w:lineRule="auto"/>
        <w:rPr>
          <w:rFonts w:cs="Arial"/>
          <w:lang w:val="en-US"/>
        </w:rPr>
      </w:pPr>
      <w:r w:rsidRPr="009939E2">
        <w:rPr>
          <w:rFonts w:cs="Arial"/>
          <w:lang w:val="en-US"/>
        </w:rPr>
        <w:t xml:space="preserve">Reason for </w:t>
      </w:r>
      <w:proofErr w:type="gramStart"/>
      <w:r w:rsidRPr="009939E2">
        <w:rPr>
          <w:rFonts w:cs="Arial"/>
          <w:lang w:val="en-US"/>
        </w:rPr>
        <w:t>decant</w:t>
      </w:r>
      <w:proofErr w:type="gramEnd"/>
    </w:p>
    <w:p w14:paraId="24A816D4" w14:textId="77777777" w:rsidR="009939E2" w:rsidRPr="009939E2" w:rsidRDefault="009939E2" w:rsidP="009939E2">
      <w:pPr>
        <w:pStyle w:val="ListParagraph"/>
        <w:numPr>
          <w:ilvl w:val="0"/>
          <w:numId w:val="7"/>
        </w:numPr>
        <w:spacing w:line="276" w:lineRule="auto"/>
        <w:rPr>
          <w:rFonts w:cs="Arial"/>
          <w:lang w:val="en-US"/>
        </w:rPr>
      </w:pPr>
      <w:r w:rsidRPr="009939E2">
        <w:rPr>
          <w:rFonts w:cs="Arial"/>
          <w:lang w:val="en-US"/>
        </w:rPr>
        <w:t xml:space="preserve">Expenditure on </w:t>
      </w:r>
      <w:proofErr w:type="gramStart"/>
      <w:r w:rsidRPr="009939E2">
        <w:rPr>
          <w:rFonts w:cs="Arial"/>
          <w:lang w:val="en-US"/>
        </w:rPr>
        <w:t>decants</w:t>
      </w:r>
      <w:proofErr w:type="gramEnd"/>
    </w:p>
    <w:p w14:paraId="5F808613" w14:textId="77777777" w:rsidR="009939E2" w:rsidRPr="009939E2" w:rsidRDefault="009939E2" w:rsidP="009939E2">
      <w:pPr>
        <w:pStyle w:val="ListParagraph"/>
        <w:numPr>
          <w:ilvl w:val="0"/>
          <w:numId w:val="7"/>
        </w:numPr>
        <w:spacing w:line="276" w:lineRule="auto"/>
        <w:rPr>
          <w:rFonts w:cs="Arial"/>
          <w:lang w:val="en-US"/>
        </w:rPr>
      </w:pPr>
      <w:r w:rsidRPr="009939E2">
        <w:rPr>
          <w:rFonts w:cs="Arial"/>
          <w:lang w:val="en-US"/>
        </w:rPr>
        <w:t>Customer feedback (satisfaction of process)</w:t>
      </w:r>
    </w:p>
    <w:p w14:paraId="60A4768B" w14:textId="77777777" w:rsidR="009939E2" w:rsidRPr="009939E2" w:rsidRDefault="009939E2" w:rsidP="009939E2">
      <w:pPr>
        <w:pStyle w:val="ListParagraph"/>
        <w:numPr>
          <w:ilvl w:val="0"/>
          <w:numId w:val="7"/>
        </w:numPr>
        <w:spacing w:line="276" w:lineRule="auto"/>
        <w:rPr>
          <w:rFonts w:cs="Arial"/>
          <w:lang w:val="en-US"/>
        </w:rPr>
      </w:pPr>
      <w:r w:rsidRPr="009939E2">
        <w:rPr>
          <w:rFonts w:cs="Arial"/>
          <w:lang w:val="en-US"/>
        </w:rPr>
        <w:t>Speed of response from the Housing service</w:t>
      </w:r>
    </w:p>
    <w:p w14:paraId="2064A510" w14:textId="5C99BC3C" w:rsidR="009939E2" w:rsidRDefault="009939E2" w:rsidP="009939E2">
      <w:pPr>
        <w:pStyle w:val="Heading2"/>
        <w:rPr>
          <w:rFonts w:ascii="Arial" w:hAnsi="Arial" w:cs="Arial"/>
        </w:rPr>
      </w:pPr>
    </w:p>
    <w:p w14:paraId="10D72BF5" w14:textId="77777777" w:rsidR="009C056B" w:rsidRPr="009C056B" w:rsidRDefault="009C056B" w:rsidP="009C056B"/>
    <w:p w14:paraId="501D263C" w14:textId="77777777" w:rsidR="009939E2" w:rsidRPr="009939E2" w:rsidRDefault="009939E2" w:rsidP="009939E2">
      <w:pPr>
        <w:pStyle w:val="Heading2"/>
        <w:rPr>
          <w:rFonts w:ascii="Arial" w:hAnsi="Arial" w:cs="Arial"/>
        </w:rPr>
      </w:pPr>
      <w:bookmarkStart w:id="17" w:name="_Toc98408449"/>
      <w:r w:rsidRPr="009939E2">
        <w:rPr>
          <w:rFonts w:ascii="Arial" w:hAnsi="Arial" w:cs="Arial"/>
        </w:rPr>
        <w:t>17.</w:t>
      </w:r>
      <w:r w:rsidRPr="009939E2">
        <w:rPr>
          <w:rFonts w:ascii="Arial" w:hAnsi="Arial" w:cs="Arial"/>
        </w:rPr>
        <w:tab/>
        <w:t>Right to Review</w:t>
      </w:r>
      <w:bookmarkEnd w:id="17"/>
    </w:p>
    <w:p w14:paraId="0950BA52" w14:textId="77777777" w:rsidR="009939E2" w:rsidRPr="009939E2" w:rsidRDefault="009939E2" w:rsidP="009939E2">
      <w:pPr>
        <w:rPr>
          <w:rFonts w:cs="Arial"/>
        </w:rPr>
      </w:pPr>
    </w:p>
    <w:p w14:paraId="79088C31" w14:textId="77777777" w:rsidR="009939E2" w:rsidRPr="009939E2" w:rsidRDefault="009939E2" w:rsidP="009939E2">
      <w:pPr>
        <w:ind w:left="709" w:hanging="709"/>
        <w:rPr>
          <w:rFonts w:cs="Arial"/>
          <w:lang w:val="en-US"/>
        </w:rPr>
      </w:pPr>
      <w:r w:rsidRPr="009939E2">
        <w:rPr>
          <w:rFonts w:cs="Arial"/>
        </w:rPr>
        <w:t>17.1</w:t>
      </w:r>
      <w:r w:rsidRPr="009939E2">
        <w:rPr>
          <w:rFonts w:cs="Arial"/>
          <w:b/>
        </w:rPr>
        <w:t xml:space="preserve"> </w:t>
      </w:r>
      <w:r w:rsidRPr="009939E2">
        <w:rPr>
          <w:rFonts w:cs="Arial"/>
          <w:b/>
        </w:rPr>
        <w:tab/>
      </w:r>
      <w:r w:rsidRPr="009939E2">
        <w:rPr>
          <w:rFonts w:cs="Arial"/>
          <w:lang w:val="en-US"/>
        </w:rPr>
        <w:t>The following decisions taken under this policy are subject to the right to review of each responsible party:</w:t>
      </w:r>
    </w:p>
    <w:p w14:paraId="57F71AAD" w14:textId="77777777" w:rsidR="009939E2" w:rsidRPr="009939E2" w:rsidRDefault="009939E2" w:rsidP="009939E2">
      <w:pPr>
        <w:ind w:left="709" w:hanging="709"/>
        <w:rPr>
          <w:rFonts w:cs="Arial"/>
          <w:lang w:val="en-US"/>
        </w:rPr>
      </w:pPr>
    </w:p>
    <w:p w14:paraId="3DC747D3" w14:textId="77777777" w:rsidR="009939E2" w:rsidRPr="009939E2" w:rsidRDefault="009939E2" w:rsidP="009939E2">
      <w:pPr>
        <w:pStyle w:val="ListParagraph"/>
        <w:numPr>
          <w:ilvl w:val="0"/>
          <w:numId w:val="8"/>
        </w:numPr>
        <w:contextualSpacing w:val="0"/>
        <w:rPr>
          <w:rFonts w:cs="Arial"/>
        </w:rPr>
      </w:pPr>
      <w:r w:rsidRPr="009939E2">
        <w:rPr>
          <w:rFonts w:cs="Arial"/>
        </w:rPr>
        <w:t xml:space="preserve">The decision not to allow a </w:t>
      </w:r>
      <w:proofErr w:type="gramStart"/>
      <w:r w:rsidRPr="009939E2">
        <w:rPr>
          <w:rFonts w:cs="Arial"/>
        </w:rPr>
        <w:t>decant</w:t>
      </w:r>
      <w:proofErr w:type="gramEnd"/>
    </w:p>
    <w:p w14:paraId="211B2F7D" w14:textId="77777777" w:rsidR="009939E2" w:rsidRPr="009939E2" w:rsidRDefault="009939E2" w:rsidP="009939E2">
      <w:pPr>
        <w:pStyle w:val="ListParagraph"/>
        <w:numPr>
          <w:ilvl w:val="0"/>
          <w:numId w:val="8"/>
        </w:numPr>
        <w:contextualSpacing w:val="0"/>
        <w:rPr>
          <w:rFonts w:cs="Arial"/>
        </w:rPr>
      </w:pPr>
      <w:r w:rsidRPr="009939E2">
        <w:rPr>
          <w:rFonts w:cs="Arial"/>
        </w:rPr>
        <w:t>Level of payment</w:t>
      </w:r>
    </w:p>
    <w:p w14:paraId="2AF98CFA" w14:textId="77777777" w:rsidR="009939E2" w:rsidRPr="009939E2" w:rsidRDefault="009939E2" w:rsidP="009939E2">
      <w:pPr>
        <w:pStyle w:val="ListParagraph"/>
        <w:numPr>
          <w:ilvl w:val="0"/>
          <w:numId w:val="8"/>
        </w:numPr>
        <w:contextualSpacing w:val="0"/>
        <w:rPr>
          <w:rFonts w:cs="Arial"/>
        </w:rPr>
      </w:pPr>
      <w:r w:rsidRPr="009939E2">
        <w:rPr>
          <w:rFonts w:cs="Arial"/>
        </w:rPr>
        <w:t>Offsetting against debt</w:t>
      </w:r>
    </w:p>
    <w:p w14:paraId="42A21FFF" w14:textId="77777777" w:rsidR="009939E2" w:rsidRPr="009939E2" w:rsidRDefault="009939E2" w:rsidP="009939E2">
      <w:pPr>
        <w:pStyle w:val="ListParagraph"/>
        <w:numPr>
          <w:ilvl w:val="0"/>
          <w:numId w:val="8"/>
        </w:numPr>
        <w:contextualSpacing w:val="0"/>
        <w:rPr>
          <w:rFonts w:cs="Arial"/>
        </w:rPr>
      </w:pPr>
      <w:r w:rsidRPr="009939E2">
        <w:rPr>
          <w:rFonts w:cs="Arial"/>
        </w:rPr>
        <w:t xml:space="preserve">Decision not to consider permanent </w:t>
      </w:r>
      <w:proofErr w:type="gramStart"/>
      <w:r w:rsidRPr="009939E2">
        <w:rPr>
          <w:rFonts w:cs="Arial"/>
        </w:rPr>
        <w:t>move</w:t>
      </w:r>
      <w:proofErr w:type="gramEnd"/>
    </w:p>
    <w:p w14:paraId="60B256EC" w14:textId="77777777" w:rsidR="009939E2" w:rsidRPr="009939E2" w:rsidRDefault="009939E2" w:rsidP="009939E2">
      <w:pPr>
        <w:ind w:left="709"/>
        <w:rPr>
          <w:rFonts w:cs="Arial"/>
        </w:rPr>
      </w:pPr>
    </w:p>
    <w:p w14:paraId="34BD7B0B" w14:textId="136D0237" w:rsidR="009939E2" w:rsidRPr="009939E2" w:rsidRDefault="009939E2" w:rsidP="009939E2">
      <w:pPr>
        <w:ind w:left="709"/>
        <w:rPr>
          <w:rFonts w:cs="Arial"/>
          <w:b/>
        </w:rPr>
      </w:pPr>
      <w:r w:rsidRPr="009939E2">
        <w:rPr>
          <w:rFonts w:cs="Arial"/>
          <w:lang w:val="en-US"/>
        </w:rPr>
        <w:t>The Housing Management Team Manager/ Principal Housing Management Team Leader will consider any request for review as outlined above and respond within 10 working days</w:t>
      </w:r>
      <w:r w:rsidR="007653CC">
        <w:rPr>
          <w:rFonts w:cs="Arial"/>
          <w:lang w:val="en-US"/>
        </w:rPr>
        <w:t>.</w:t>
      </w:r>
    </w:p>
    <w:p w14:paraId="642630A2" w14:textId="77777777" w:rsidR="009939E2" w:rsidRPr="009939E2" w:rsidRDefault="009939E2" w:rsidP="009939E2">
      <w:pPr>
        <w:pStyle w:val="ListParagraph"/>
        <w:ind w:left="709" w:hanging="349"/>
        <w:rPr>
          <w:rFonts w:cs="Arial"/>
          <w:lang w:val="en-US"/>
        </w:rPr>
      </w:pPr>
    </w:p>
    <w:p w14:paraId="28249650" w14:textId="77777777" w:rsidR="009939E2" w:rsidRPr="009939E2" w:rsidRDefault="009939E2" w:rsidP="009939E2">
      <w:pPr>
        <w:spacing w:after="160" w:line="259" w:lineRule="auto"/>
        <w:rPr>
          <w:rFonts w:cs="Arial"/>
          <w:lang w:val="en-US"/>
        </w:rPr>
      </w:pPr>
      <w:r w:rsidRPr="009939E2">
        <w:rPr>
          <w:rFonts w:cs="Arial"/>
          <w:lang w:val="en-US"/>
        </w:rPr>
        <w:br w:type="page"/>
      </w:r>
    </w:p>
    <w:p w14:paraId="1EA73E47" w14:textId="77777777" w:rsidR="009939E2" w:rsidRPr="009939E2" w:rsidRDefault="009939E2" w:rsidP="009939E2">
      <w:pPr>
        <w:pStyle w:val="Heading2"/>
        <w:rPr>
          <w:rFonts w:ascii="Arial" w:hAnsi="Arial" w:cs="Arial"/>
        </w:rPr>
      </w:pPr>
      <w:bookmarkStart w:id="18" w:name="_Toc98408450"/>
      <w:r w:rsidRPr="009939E2">
        <w:rPr>
          <w:rFonts w:ascii="Arial" w:hAnsi="Arial" w:cs="Arial"/>
        </w:rPr>
        <w:lastRenderedPageBreak/>
        <w:t xml:space="preserve">Figure A- Direct Costs to be met by </w:t>
      </w:r>
      <w:proofErr w:type="gramStart"/>
      <w:r w:rsidRPr="009939E2">
        <w:rPr>
          <w:rFonts w:ascii="Arial" w:hAnsi="Arial" w:cs="Arial"/>
        </w:rPr>
        <w:t>Council</w:t>
      </w:r>
      <w:bookmarkEnd w:id="18"/>
      <w:proofErr w:type="gramEnd"/>
    </w:p>
    <w:p w14:paraId="110CDAA6" w14:textId="77777777" w:rsidR="009939E2" w:rsidRPr="009939E2" w:rsidRDefault="009939E2" w:rsidP="009939E2">
      <w:pPr>
        <w:rPr>
          <w:rFonts w:cs="Arial"/>
        </w:rPr>
      </w:pPr>
    </w:p>
    <w:tbl>
      <w:tblPr>
        <w:tblStyle w:val="ListTable3-Accent3"/>
        <w:tblW w:w="0" w:type="auto"/>
        <w:tblLook w:val="04A0" w:firstRow="1" w:lastRow="0" w:firstColumn="1" w:lastColumn="0" w:noHBand="0" w:noVBand="1"/>
      </w:tblPr>
      <w:tblGrid>
        <w:gridCol w:w="6232"/>
        <w:gridCol w:w="2784"/>
      </w:tblGrid>
      <w:tr w:rsidR="009C056B" w:rsidRPr="009939E2" w14:paraId="31D837C8" w14:textId="77777777" w:rsidTr="00AA4D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32" w:type="dxa"/>
          </w:tcPr>
          <w:p w14:paraId="20CAC6BB" w14:textId="08C3D03B" w:rsidR="009C056B" w:rsidRPr="009939E2" w:rsidRDefault="009C056B" w:rsidP="00945579">
            <w:pPr>
              <w:spacing w:after="160" w:line="259" w:lineRule="auto"/>
              <w:rPr>
                <w:rFonts w:cs="Arial"/>
              </w:rPr>
            </w:pPr>
            <w:r>
              <w:rPr>
                <w:rFonts w:cs="Arial"/>
              </w:rPr>
              <w:t>Type of Payment</w:t>
            </w:r>
          </w:p>
        </w:tc>
        <w:tc>
          <w:tcPr>
            <w:tcW w:w="2784" w:type="dxa"/>
          </w:tcPr>
          <w:p w14:paraId="1E36A803" w14:textId="1E1DCFC8" w:rsidR="009C056B" w:rsidRPr="009939E2" w:rsidRDefault="00AA4D35" w:rsidP="00945579">
            <w:pPr>
              <w:spacing w:after="160" w:line="259"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Payment </w:t>
            </w:r>
            <w:r w:rsidR="009C056B">
              <w:rPr>
                <w:rFonts w:cs="Arial"/>
              </w:rPr>
              <w:t>Amount</w:t>
            </w:r>
          </w:p>
        </w:tc>
      </w:tr>
      <w:tr w:rsidR="009C056B" w:rsidRPr="009939E2" w14:paraId="1424BEE1" w14:textId="4DDCC953" w:rsidTr="00AA4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52CD644" w14:textId="77777777" w:rsidR="009C056B" w:rsidRPr="009939E2" w:rsidRDefault="009C056B" w:rsidP="00945579">
            <w:pPr>
              <w:spacing w:after="160" w:line="259" w:lineRule="auto"/>
              <w:rPr>
                <w:rFonts w:cs="Arial"/>
              </w:rPr>
            </w:pPr>
            <w:r w:rsidRPr="009939E2">
              <w:rPr>
                <w:rFonts w:cs="Arial"/>
              </w:rPr>
              <w:t>Accommodation Costs relating to the property the tenant moves into</w:t>
            </w:r>
          </w:p>
        </w:tc>
        <w:tc>
          <w:tcPr>
            <w:tcW w:w="2784" w:type="dxa"/>
          </w:tcPr>
          <w:p w14:paraId="2A245357" w14:textId="2066AE65" w:rsidR="009C056B" w:rsidRPr="009939E2" w:rsidRDefault="00AA4D35" w:rsidP="00945579">
            <w:pPr>
              <w:spacing w:after="160" w:line="259"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Cost to be met in full</w:t>
            </w:r>
          </w:p>
        </w:tc>
      </w:tr>
      <w:tr w:rsidR="009C056B" w:rsidRPr="009939E2" w14:paraId="13FE451E" w14:textId="4E9DF072" w:rsidTr="00AA4D35">
        <w:tc>
          <w:tcPr>
            <w:cnfStyle w:val="001000000000" w:firstRow="0" w:lastRow="0" w:firstColumn="1" w:lastColumn="0" w:oddVBand="0" w:evenVBand="0" w:oddHBand="0" w:evenHBand="0" w:firstRowFirstColumn="0" w:firstRowLastColumn="0" w:lastRowFirstColumn="0" w:lastRowLastColumn="0"/>
            <w:tcW w:w="6232" w:type="dxa"/>
          </w:tcPr>
          <w:p w14:paraId="60BB7ED9" w14:textId="77777777" w:rsidR="009C056B" w:rsidRPr="009939E2" w:rsidRDefault="009C056B" w:rsidP="00945579">
            <w:pPr>
              <w:spacing w:after="160" w:line="259" w:lineRule="auto"/>
              <w:rPr>
                <w:rFonts w:cs="Arial"/>
              </w:rPr>
            </w:pPr>
            <w:r w:rsidRPr="009939E2">
              <w:rPr>
                <w:rFonts w:cs="Arial"/>
              </w:rPr>
              <w:t>Storage</w:t>
            </w:r>
          </w:p>
        </w:tc>
        <w:tc>
          <w:tcPr>
            <w:tcW w:w="2784" w:type="dxa"/>
          </w:tcPr>
          <w:p w14:paraId="1C1E15F7" w14:textId="4BA34390" w:rsidR="009C056B" w:rsidRPr="009939E2" w:rsidRDefault="00AA4D35" w:rsidP="00945579">
            <w:p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Cost to be met in full</w:t>
            </w:r>
          </w:p>
        </w:tc>
      </w:tr>
      <w:tr w:rsidR="00AC4A47" w:rsidRPr="009939E2" w14:paraId="05C7E66E" w14:textId="77777777" w:rsidTr="00AA4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9C816A7" w14:textId="127F44BA" w:rsidR="00AC4A47" w:rsidRPr="009939E2" w:rsidRDefault="00AC4A47" w:rsidP="00945579">
            <w:pPr>
              <w:spacing w:after="160" w:line="259" w:lineRule="auto"/>
              <w:rPr>
                <w:rFonts w:cs="Arial"/>
              </w:rPr>
            </w:pPr>
            <w:r>
              <w:rPr>
                <w:rFonts w:cs="Arial"/>
              </w:rPr>
              <w:t xml:space="preserve">Decoration </w:t>
            </w:r>
            <w:r w:rsidR="0015161B">
              <w:rPr>
                <w:rFonts w:cs="Arial"/>
              </w:rPr>
              <w:t>costs in line with Home Improvement Programme/Empty Homes Work.</w:t>
            </w:r>
          </w:p>
        </w:tc>
        <w:tc>
          <w:tcPr>
            <w:tcW w:w="2784" w:type="dxa"/>
          </w:tcPr>
          <w:p w14:paraId="7C19D331" w14:textId="3AA96190" w:rsidR="00AC4A47" w:rsidRDefault="00F71A78" w:rsidP="00945579">
            <w:pPr>
              <w:spacing w:after="160" w:line="259"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Decoration Pack to be made available.</w:t>
            </w:r>
          </w:p>
        </w:tc>
      </w:tr>
    </w:tbl>
    <w:p w14:paraId="1CAE5429" w14:textId="77777777" w:rsidR="009939E2" w:rsidRPr="009939E2" w:rsidRDefault="009939E2" w:rsidP="009939E2">
      <w:pPr>
        <w:spacing w:after="160" w:line="259" w:lineRule="auto"/>
        <w:rPr>
          <w:rFonts w:cs="Arial"/>
        </w:rPr>
      </w:pPr>
    </w:p>
    <w:p w14:paraId="66DF6E93" w14:textId="77777777" w:rsidR="009939E2" w:rsidRPr="009939E2" w:rsidRDefault="009939E2" w:rsidP="009939E2">
      <w:pPr>
        <w:spacing w:after="160" w:line="259" w:lineRule="auto"/>
        <w:rPr>
          <w:rFonts w:cs="Arial"/>
        </w:rPr>
      </w:pPr>
    </w:p>
    <w:p w14:paraId="24A1FAC2" w14:textId="77777777" w:rsidR="009939E2" w:rsidRPr="002B493F" w:rsidRDefault="009939E2" w:rsidP="009939E2">
      <w:pPr>
        <w:spacing w:after="160" w:line="259" w:lineRule="auto"/>
        <w:rPr>
          <w:rFonts w:cs="Arial"/>
          <w:color w:val="2F5496" w:themeColor="accent1" w:themeShade="BF"/>
          <w:sz w:val="26"/>
          <w:szCs w:val="26"/>
        </w:rPr>
      </w:pPr>
      <w:r w:rsidRPr="002B493F">
        <w:rPr>
          <w:rFonts w:cs="Arial"/>
          <w:color w:val="2F5496" w:themeColor="accent1" w:themeShade="BF"/>
          <w:sz w:val="26"/>
          <w:szCs w:val="26"/>
        </w:rPr>
        <w:t xml:space="preserve">Figure B – Costs the Council will </w:t>
      </w:r>
      <w:proofErr w:type="gramStart"/>
      <w:r w:rsidRPr="002B493F">
        <w:rPr>
          <w:rFonts w:cs="Arial"/>
          <w:color w:val="2F5496" w:themeColor="accent1" w:themeShade="BF"/>
          <w:sz w:val="26"/>
          <w:szCs w:val="26"/>
        </w:rPr>
        <w:t>reimburse</w:t>
      </w:r>
      <w:proofErr w:type="gramEnd"/>
    </w:p>
    <w:tbl>
      <w:tblPr>
        <w:tblStyle w:val="ListTable3-Accent3"/>
        <w:tblW w:w="0" w:type="auto"/>
        <w:tblLook w:val="04A0" w:firstRow="1" w:lastRow="0" w:firstColumn="1" w:lastColumn="0" w:noHBand="0" w:noVBand="1"/>
      </w:tblPr>
      <w:tblGrid>
        <w:gridCol w:w="6232"/>
        <w:gridCol w:w="2784"/>
      </w:tblGrid>
      <w:tr w:rsidR="009C056B" w:rsidRPr="009939E2" w14:paraId="10187726" w14:textId="77B593A3" w:rsidTr="00AA4D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32" w:type="dxa"/>
          </w:tcPr>
          <w:p w14:paraId="0561B2E4" w14:textId="4A11A72B" w:rsidR="009C056B" w:rsidRPr="009939E2" w:rsidRDefault="009C056B" w:rsidP="00945579">
            <w:pPr>
              <w:spacing w:after="160" w:line="259" w:lineRule="auto"/>
              <w:rPr>
                <w:rFonts w:cs="Arial"/>
              </w:rPr>
            </w:pPr>
            <w:r>
              <w:rPr>
                <w:rFonts w:cs="Arial"/>
              </w:rPr>
              <w:t>Type of Payment</w:t>
            </w:r>
          </w:p>
        </w:tc>
        <w:tc>
          <w:tcPr>
            <w:tcW w:w="2784" w:type="dxa"/>
          </w:tcPr>
          <w:p w14:paraId="0BEDD47F" w14:textId="182CD910" w:rsidR="009C056B" w:rsidRPr="009939E2" w:rsidRDefault="00AA4D35" w:rsidP="00945579">
            <w:pPr>
              <w:spacing w:after="160" w:line="259"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Payment </w:t>
            </w:r>
            <w:r w:rsidR="009C056B">
              <w:rPr>
                <w:rFonts w:cs="Arial"/>
              </w:rPr>
              <w:t>Amount</w:t>
            </w:r>
          </w:p>
        </w:tc>
      </w:tr>
      <w:tr w:rsidR="009C056B" w:rsidRPr="009939E2" w14:paraId="107162BB" w14:textId="3DFDBE6A" w:rsidTr="00AA4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51DB9E4" w14:textId="77777777" w:rsidR="009C056B" w:rsidRPr="009939E2" w:rsidRDefault="009C056B" w:rsidP="00945579">
            <w:pPr>
              <w:spacing w:after="160" w:line="259" w:lineRule="auto"/>
              <w:rPr>
                <w:rFonts w:cs="Arial"/>
              </w:rPr>
            </w:pPr>
            <w:r w:rsidRPr="009939E2">
              <w:rPr>
                <w:rFonts w:cs="Arial"/>
              </w:rPr>
              <w:t>Utility costs such as gas, electric and water in property where work is undertaken (substantive property) for period where property is empty</w:t>
            </w:r>
          </w:p>
        </w:tc>
        <w:tc>
          <w:tcPr>
            <w:tcW w:w="2784" w:type="dxa"/>
          </w:tcPr>
          <w:p w14:paraId="4A7EBDC7" w14:textId="4D9C24D4" w:rsidR="009C056B" w:rsidRPr="009939E2" w:rsidRDefault="00AA4D35" w:rsidP="00945579">
            <w:pPr>
              <w:spacing w:after="160" w:line="259"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Cost to be met in full</w:t>
            </w:r>
          </w:p>
        </w:tc>
      </w:tr>
      <w:tr w:rsidR="009C056B" w:rsidRPr="009939E2" w14:paraId="42A09F17" w14:textId="7B4349E4" w:rsidTr="00AA4D35">
        <w:tc>
          <w:tcPr>
            <w:cnfStyle w:val="001000000000" w:firstRow="0" w:lastRow="0" w:firstColumn="1" w:lastColumn="0" w:oddVBand="0" w:evenVBand="0" w:oddHBand="0" w:evenHBand="0" w:firstRowFirstColumn="0" w:firstRowLastColumn="0" w:lastRowFirstColumn="0" w:lastRowLastColumn="0"/>
            <w:tcW w:w="6232" w:type="dxa"/>
          </w:tcPr>
          <w:p w14:paraId="68E55FFF" w14:textId="77777777" w:rsidR="009C056B" w:rsidRPr="009939E2" w:rsidRDefault="009C056B" w:rsidP="00945579">
            <w:pPr>
              <w:spacing w:after="160" w:line="259" w:lineRule="auto"/>
              <w:rPr>
                <w:rFonts w:cs="Arial"/>
              </w:rPr>
            </w:pPr>
            <w:r w:rsidRPr="009939E2">
              <w:rPr>
                <w:rFonts w:cs="Arial"/>
              </w:rPr>
              <w:t>Reasonable subsistence payments for food and drink relating to any emergency decant period</w:t>
            </w:r>
          </w:p>
        </w:tc>
        <w:tc>
          <w:tcPr>
            <w:tcW w:w="2784" w:type="dxa"/>
          </w:tcPr>
          <w:p w14:paraId="5F769E6C" w14:textId="0D556B1C" w:rsidR="009C056B" w:rsidRPr="009939E2" w:rsidRDefault="00AA4D35" w:rsidP="00945579">
            <w:p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Up to £100</w:t>
            </w:r>
          </w:p>
        </w:tc>
      </w:tr>
      <w:tr w:rsidR="00637E31" w:rsidRPr="009939E2" w14:paraId="1DF65BFA" w14:textId="77777777" w:rsidTr="00AA4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C191ED3" w14:textId="4736C517" w:rsidR="00637E31" w:rsidRPr="009939E2" w:rsidRDefault="006234E9" w:rsidP="00945579">
            <w:pPr>
              <w:spacing w:after="160" w:line="259" w:lineRule="auto"/>
              <w:rPr>
                <w:rFonts w:cs="Arial"/>
              </w:rPr>
            </w:pPr>
            <w:r>
              <w:rPr>
                <w:rFonts w:cs="Arial"/>
              </w:rPr>
              <w:t>Disconnection and Reconnection of Utilities</w:t>
            </w:r>
          </w:p>
        </w:tc>
        <w:tc>
          <w:tcPr>
            <w:tcW w:w="2784" w:type="dxa"/>
          </w:tcPr>
          <w:p w14:paraId="5AC04A7C" w14:textId="2CF27E8E" w:rsidR="00637E31" w:rsidRDefault="006234E9" w:rsidP="00945579">
            <w:pPr>
              <w:spacing w:after="160" w:line="259"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Cost to be met in full</w:t>
            </w:r>
          </w:p>
        </w:tc>
      </w:tr>
      <w:tr w:rsidR="00AC4A47" w:rsidRPr="009939E2" w14:paraId="0F47C799" w14:textId="77777777" w:rsidTr="00AA4D35">
        <w:tc>
          <w:tcPr>
            <w:cnfStyle w:val="001000000000" w:firstRow="0" w:lastRow="0" w:firstColumn="1" w:lastColumn="0" w:oddVBand="0" w:evenVBand="0" w:oddHBand="0" w:evenHBand="0" w:firstRowFirstColumn="0" w:firstRowLastColumn="0" w:lastRowFirstColumn="0" w:lastRowLastColumn="0"/>
            <w:tcW w:w="6232" w:type="dxa"/>
          </w:tcPr>
          <w:p w14:paraId="75475CEC" w14:textId="0AEFDE99" w:rsidR="00AC4A47" w:rsidRDefault="00AC4A47" w:rsidP="00945579">
            <w:pPr>
              <w:spacing w:after="160" w:line="259" w:lineRule="auto"/>
              <w:rPr>
                <w:rFonts w:cs="Arial"/>
              </w:rPr>
            </w:pPr>
            <w:r>
              <w:rPr>
                <w:rFonts w:cs="Arial"/>
              </w:rPr>
              <w:t>Redirection of Mail</w:t>
            </w:r>
          </w:p>
        </w:tc>
        <w:tc>
          <w:tcPr>
            <w:tcW w:w="2784" w:type="dxa"/>
          </w:tcPr>
          <w:p w14:paraId="4DC4BB07" w14:textId="7BDDAEA0" w:rsidR="00AC4A47" w:rsidRDefault="00AC4A47" w:rsidP="00945579">
            <w:pPr>
              <w:spacing w:after="160" w:line="259"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Cost to be met in full</w:t>
            </w:r>
          </w:p>
        </w:tc>
      </w:tr>
    </w:tbl>
    <w:p w14:paraId="27040CF3" w14:textId="77777777" w:rsidR="009939E2" w:rsidRPr="009939E2" w:rsidRDefault="009939E2" w:rsidP="009939E2">
      <w:pPr>
        <w:spacing w:after="160" w:line="259" w:lineRule="auto"/>
        <w:rPr>
          <w:rFonts w:cs="Arial"/>
        </w:rPr>
      </w:pPr>
    </w:p>
    <w:p w14:paraId="617186B7" w14:textId="77777777" w:rsidR="009939E2" w:rsidRPr="009939E2" w:rsidRDefault="009939E2" w:rsidP="009939E2">
      <w:pPr>
        <w:spacing w:after="160" w:line="259" w:lineRule="auto"/>
        <w:rPr>
          <w:rFonts w:cs="Arial"/>
        </w:rPr>
      </w:pPr>
    </w:p>
    <w:p w14:paraId="5B49FC69" w14:textId="77777777" w:rsidR="009939E2" w:rsidRPr="009939E2" w:rsidRDefault="009939E2" w:rsidP="009939E2">
      <w:pPr>
        <w:spacing w:after="160" w:line="259" w:lineRule="auto"/>
        <w:rPr>
          <w:rFonts w:eastAsiaTheme="majorEastAsia" w:cs="Arial"/>
          <w:color w:val="2F5496" w:themeColor="accent1" w:themeShade="BF"/>
          <w:sz w:val="26"/>
          <w:szCs w:val="26"/>
        </w:rPr>
      </w:pPr>
      <w:r w:rsidRPr="009939E2">
        <w:rPr>
          <w:rFonts w:eastAsiaTheme="majorEastAsia" w:cs="Arial"/>
          <w:color w:val="2F5496" w:themeColor="accent1" w:themeShade="BF"/>
          <w:sz w:val="26"/>
          <w:szCs w:val="26"/>
        </w:rPr>
        <w:t xml:space="preserve">Figure C – Allowances in lieu of </w:t>
      </w:r>
      <w:proofErr w:type="gramStart"/>
      <w:r w:rsidRPr="009939E2">
        <w:rPr>
          <w:rFonts w:eastAsiaTheme="majorEastAsia" w:cs="Arial"/>
          <w:color w:val="2F5496" w:themeColor="accent1" w:themeShade="BF"/>
          <w:sz w:val="26"/>
          <w:szCs w:val="26"/>
        </w:rPr>
        <w:t>costs</w:t>
      </w:r>
      <w:proofErr w:type="gramEnd"/>
    </w:p>
    <w:tbl>
      <w:tblPr>
        <w:tblStyle w:val="ListTable3-Accent3"/>
        <w:tblW w:w="0" w:type="auto"/>
        <w:tblLook w:val="04A0" w:firstRow="1" w:lastRow="0" w:firstColumn="1" w:lastColumn="0" w:noHBand="0" w:noVBand="1"/>
      </w:tblPr>
      <w:tblGrid>
        <w:gridCol w:w="6232"/>
        <w:gridCol w:w="2784"/>
      </w:tblGrid>
      <w:tr w:rsidR="00AA4D35" w:rsidRPr="002B493F" w14:paraId="181C00C0" w14:textId="77777777" w:rsidTr="00AA4D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32" w:type="dxa"/>
          </w:tcPr>
          <w:p w14:paraId="469FEF82" w14:textId="1DCDE007" w:rsidR="00AA4D35" w:rsidRPr="00AA4D35" w:rsidRDefault="00AA4D35" w:rsidP="00042C90">
            <w:pPr>
              <w:spacing w:after="160" w:line="259" w:lineRule="auto"/>
              <w:rPr>
                <w:rFonts w:eastAsiaTheme="majorEastAsia" w:cs="Arial"/>
                <w:szCs w:val="22"/>
              </w:rPr>
            </w:pPr>
            <w:r>
              <w:rPr>
                <w:rFonts w:eastAsiaTheme="majorEastAsia" w:cs="Arial"/>
                <w:szCs w:val="22"/>
              </w:rPr>
              <w:t>Type of Payment</w:t>
            </w:r>
          </w:p>
        </w:tc>
        <w:tc>
          <w:tcPr>
            <w:tcW w:w="2784" w:type="dxa"/>
          </w:tcPr>
          <w:p w14:paraId="00B4187C" w14:textId="0AE51CBA" w:rsidR="00AA4D35" w:rsidRPr="002B493F" w:rsidRDefault="00AA4D35" w:rsidP="00042C90">
            <w:pPr>
              <w:spacing w:after="160" w:line="259" w:lineRule="auto"/>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Payment Amount</w:t>
            </w:r>
          </w:p>
        </w:tc>
      </w:tr>
      <w:tr w:rsidR="00AA4D35" w:rsidRPr="002B493F" w14:paraId="3BEBD5B1" w14:textId="77777777" w:rsidTr="00AA4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FCE255F" w14:textId="5F6662DF" w:rsidR="00AA4D35" w:rsidRPr="00AA4D35" w:rsidRDefault="00AA4D35" w:rsidP="00042C90">
            <w:pPr>
              <w:spacing w:after="160" w:line="259" w:lineRule="auto"/>
              <w:rPr>
                <w:rFonts w:eastAsiaTheme="majorEastAsia" w:cs="Arial"/>
                <w:szCs w:val="22"/>
              </w:rPr>
            </w:pPr>
            <w:r w:rsidRPr="00AA4D35">
              <w:rPr>
                <w:rFonts w:eastAsiaTheme="majorEastAsia" w:cs="Arial"/>
                <w:szCs w:val="22"/>
              </w:rPr>
              <w:t>Where a household has made their own arrangements, such as staying with family/friends the council will make a payment in lieu of costs to recognise the inconvenience.</w:t>
            </w:r>
          </w:p>
        </w:tc>
        <w:tc>
          <w:tcPr>
            <w:tcW w:w="2784" w:type="dxa"/>
          </w:tcPr>
          <w:p w14:paraId="427C76F1" w14:textId="398279F5" w:rsidR="00AA4D35" w:rsidRPr="002B493F" w:rsidRDefault="00AA4D35" w:rsidP="00042C90">
            <w:pPr>
              <w:spacing w:after="160" w:line="259" w:lineRule="auto"/>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£250</w:t>
            </w:r>
          </w:p>
        </w:tc>
      </w:tr>
    </w:tbl>
    <w:p w14:paraId="4F33CDF4" w14:textId="1A5175C3" w:rsidR="009939E2" w:rsidRPr="00AA4D35" w:rsidRDefault="009939E2" w:rsidP="00AA4D35">
      <w:pPr>
        <w:spacing w:after="160" w:line="259" w:lineRule="auto"/>
        <w:rPr>
          <w:rFonts w:cs="Arial"/>
          <w:szCs w:val="22"/>
        </w:rPr>
      </w:pPr>
    </w:p>
    <w:sectPr w:rsidR="009939E2" w:rsidRPr="00AA4D3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84A7C" w14:textId="77777777" w:rsidR="006061A3" w:rsidRDefault="006061A3" w:rsidP="009939E2">
      <w:r>
        <w:separator/>
      </w:r>
    </w:p>
  </w:endnote>
  <w:endnote w:type="continuationSeparator" w:id="0">
    <w:p w14:paraId="7B6A920C" w14:textId="77777777" w:rsidR="006061A3" w:rsidRDefault="006061A3" w:rsidP="0099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D2FB8" w14:textId="77777777" w:rsidR="006061A3" w:rsidRDefault="006061A3" w:rsidP="009939E2">
      <w:r>
        <w:separator/>
      </w:r>
    </w:p>
  </w:footnote>
  <w:footnote w:type="continuationSeparator" w:id="0">
    <w:p w14:paraId="4709B736" w14:textId="77777777" w:rsidR="006061A3" w:rsidRDefault="006061A3" w:rsidP="00993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E22F6FA259E0451DB0A51CEDE795729F"/>
      </w:placeholder>
      <w:temporary/>
      <w:showingPlcHdr/>
      <w15:appearance w15:val="hidden"/>
    </w:sdtPr>
    <w:sdtContent>
      <w:p w14:paraId="47029E9D" w14:textId="77777777" w:rsidR="002705DD" w:rsidRDefault="002705DD">
        <w:pPr>
          <w:pStyle w:val="Header"/>
        </w:pPr>
        <w:r>
          <w:t>[Type here]</w:t>
        </w:r>
      </w:p>
    </w:sdtContent>
  </w:sdt>
  <w:sdt>
    <w:sdtPr>
      <w:id w:val="1229348061"/>
      <w:docPartObj>
        <w:docPartGallery w:val="Watermarks"/>
        <w:docPartUnique/>
      </w:docPartObj>
    </w:sdtPr>
    <w:sdtContent>
      <w:p w14:paraId="0B1D619E" w14:textId="3731D45B" w:rsidR="009939E2" w:rsidRDefault="002705DD">
        <w:pPr>
          <w:pStyle w:val="Header"/>
        </w:pPr>
        <w:r>
          <w:rPr>
            <w:noProof/>
          </w:rPr>
          <w:pict w14:anchorId="02BE0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2024 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C626F"/>
    <w:multiLevelType w:val="hybridMultilevel"/>
    <w:tmpl w:val="0CD8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C0D17"/>
    <w:multiLevelType w:val="hybridMultilevel"/>
    <w:tmpl w:val="371A4D16"/>
    <w:lvl w:ilvl="0" w:tplc="C8D40ED4">
      <w:start w:val="4"/>
      <w:numFmt w:val="bullet"/>
      <w:lvlText w:val=""/>
      <w:lvlJc w:val="left"/>
      <w:pPr>
        <w:ind w:left="1080" w:hanging="360"/>
      </w:pPr>
      <w:rPr>
        <w:rFonts w:ascii="Symbol" w:eastAsia="Calibr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DD21B1"/>
    <w:multiLevelType w:val="multilevel"/>
    <w:tmpl w:val="95A2F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C47515"/>
    <w:multiLevelType w:val="hybridMultilevel"/>
    <w:tmpl w:val="D1FAD8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2412BB4"/>
    <w:multiLevelType w:val="hybridMultilevel"/>
    <w:tmpl w:val="A426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B2F44"/>
    <w:multiLevelType w:val="hybridMultilevel"/>
    <w:tmpl w:val="E40AD150"/>
    <w:lvl w:ilvl="0" w:tplc="9D9E3266">
      <w:start w:val="1"/>
      <w:numFmt w:val="decimal"/>
      <w:lvlText w:val="%1."/>
      <w:lvlJc w:val="left"/>
      <w:pPr>
        <w:ind w:left="580" w:hanging="360"/>
      </w:pPr>
      <w:rPr>
        <w:rFonts w:eastAsia="Times New Roman" w:hint="default"/>
        <w:color w:val="0563C1" w:themeColor="hyperlink"/>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6" w15:restartNumberingAfterBreak="0">
    <w:nsid w:val="40F53A61"/>
    <w:multiLevelType w:val="hybridMultilevel"/>
    <w:tmpl w:val="BDF27E00"/>
    <w:lvl w:ilvl="0" w:tplc="01A2DA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F037A1"/>
    <w:multiLevelType w:val="multilevel"/>
    <w:tmpl w:val="A43C0FC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132543"/>
    <w:multiLevelType w:val="hybridMultilevel"/>
    <w:tmpl w:val="7E2CFD3A"/>
    <w:lvl w:ilvl="0" w:tplc="08090001">
      <w:start w:val="1"/>
      <w:numFmt w:val="bullet"/>
      <w:lvlText w:val=""/>
      <w:lvlJc w:val="left"/>
      <w:pPr>
        <w:ind w:left="1995" w:hanging="360"/>
      </w:pPr>
      <w:rPr>
        <w:rFonts w:ascii="Symbol" w:hAnsi="Symbol" w:hint="default"/>
      </w:rPr>
    </w:lvl>
    <w:lvl w:ilvl="1" w:tplc="08090003">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num w:numId="1" w16cid:durableId="933779613">
    <w:abstractNumId w:val="0"/>
  </w:num>
  <w:num w:numId="2" w16cid:durableId="1322272762">
    <w:abstractNumId w:val="2"/>
  </w:num>
  <w:num w:numId="3" w16cid:durableId="1374646647">
    <w:abstractNumId w:val="4"/>
  </w:num>
  <w:num w:numId="4" w16cid:durableId="852916310">
    <w:abstractNumId w:val="7"/>
  </w:num>
  <w:num w:numId="5" w16cid:durableId="1826314921">
    <w:abstractNumId w:val="6"/>
  </w:num>
  <w:num w:numId="6" w16cid:durableId="378631442">
    <w:abstractNumId w:val="8"/>
  </w:num>
  <w:num w:numId="7" w16cid:durableId="656958146">
    <w:abstractNumId w:val="1"/>
  </w:num>
  <w:num w:numId="8" w16cid:durableId="1650597701">
    <w:abstractNumId w:val="3"/>
  </w:num>
  <w:num w:numId="9" w16cid:durableId="1707367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E2"/>
    <w:rsid w:val="0005182E"/>
    <w:rsid w:val="00076D21"/>
    <w:rsid w:val="00083AE9"/>
    <w:rsid w:val="000955A1"/>
    <w:rsid w:val="001444D6"/>
    <w:rsid w:val="0015161B"/>
    <w:rsid w:val="001C2155"/>
    <w:rsid w:val="002705DD"/>
    <w:rsid w:val="00273BB3"/>
    <w:rsid w:val="002B493F"/>
    <w:rsid w:val="00385C6F"/>
    <w:rsid w:val="003D11ED"/>
    <w:rsid w:val="004B0AE7"/>
    <w:rsid w:val="004B1D28"/>
    <w:rsid w:val="005467DE"/>
    <w:rsid w:val="00566C8A"/>
    <w:rsid w:val="005B47AA"/>
    <w:rsid w:val="006061A3"/>
    <w:rsid w:val="006234E9"/>
    <w:rsid w:val="00633DD7"/>
    <w:rsid w:val="00637E31"/>
    <w:rsid w:val="007322E5"/>
    <w:rsid w:val="007653CC"/>
    <w:rsid w:val="008D43C2"/>
    <w:rsid w:val="009939E2"/>
    <w:rsid w:val="009C056B"/>
    <w:rsid w:val="009E1450"/>
    <w:rsid w:val="00A059AD"/>
    <w:rsid w:val="00AA4D35"/>
    <w:rsid w:val="00AC4A47"/>
    <w:rsid w:val="00AD01AD"/>
    <w:rsid w:val="00B2366B"/>
    <w:rsid w:val="00B322D1"/>
    <w:rsid w:val="00B44528"/>
    <w:rsid w:val="00B51298"/>
    <w:rsid w:val="00BA0EFB"/>
    <w:rsid w:val="00C005B5"/>
    <w:rsid w:val="00C22784"/>
    <w:rsid w:val="00C63D3A"/>
    <w:rsid w:val="00D32786"/>
    <w:rsid w:val="00D91358"/>
    <w:rsid w:val="00DF2C79"/>
    <w:rsid w:val="00E35E71"/>
    <w:rsid w:val="00EB0995"/>
    <w:rsid w:val="00F00940"/>
    <w:rsid w:val="00F71A78"/>
    <w:rsid w:val="00FF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CA21FB"/>
  <w15:chartTrackingRefBased/>
  <w15:docId w15:val="{753F0361-98E3-4C2D-9F87-7E01EC36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E2"/>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9939E2"/>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9939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9E2"/>
    <w:pPr>
      <w:tabs>
        <w:tab w:val="center" w:pos="4513"/>
        <w:tab w:val="right" w:pos="9026"/>
      </w:tabs>
    </w:pPr>
  </w:style>
  <w:style w:type="character" w:customStyle="1" w:styleId="HeaderChar">
    <w:name w:val="Header Char"/>
    <w:basedOn w:val="DefaultParagraphFont"/>
    <w:link w:val="Header"/>
    <w:uiPriority w:val="99"/>
    <w:rsid w:val="009939E2"/>
  </w:style>
  <w:style w:type="paragraph" w:styleId="Footer">
    <w:name w:val="footer"/>
    <w:basedOn w:val="Normal"/>
    <w:link w:val="FooterChar"/>
    <w:uiPriority w:val="99"/>
    <w:unhideWhenUsed/>
    <w:rsid w:val="009939E2"/>
    <w:pPr>
      <w:tabs>
        <w:tab w:val="center" w:pos="4513"/>
        <w:tab w:val="right" w:pos="9026"/>
      </w:tabs>
    </w:pPr>
  </w:style>
  <w:style w:type="character" w:customStyle="1" w:styleId="FooterChar">
    <w:name w:val="Footer Char"/>
    <w:basedOn w:val="DefaultParagraphFont"/>
    <w:link w:val="Footer"/>
    <w:uiPriority w:val="99"/>
    <w:rsid w:val="009939E2"/>
  </w:style>
  <w:style w:type="paragraph" w:styleId="ListParagraph">
    <w:name w:val="List Paragraph"/>
    <w:basedOn w:val="Normal"/>
    <w:uiPriority w:val="34"/>
    <w:qFormat/>
    <w:rsid w:val="009939E2"/>
    <w:pPr>
      <w:ind w:left="720"/>
      <w:contextualSpacing/>
    </w:pPr>
  </w:style>
  <w:style w:type="character" w:styleId="Hyperlink">
    <w:name w:val="Hyperlink"/>
    <w:basedOn w:val="DefaultParagraphFont"/>
    <w:uiPriority w:val="99"/>
    <w:unhideWhenUsed/>
    <w:rsid w:val="009939E2"/>
    <w:rPr>
      <w:color w:val="0563C1" w:themeColor="hyperlink"/>
      <w:u w:val="single"/>
    </w:rPr>
  </w:style>
  <w:style w:type="table" w:styleId="TableGrid">
    <w:name w:val="Table Grid"/>
    <w:basedOn w:val="TableNormal"/>
    <w:uiPriority w:val="59"/>
    <w:rsid w:val="00993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39E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9939E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939E2"/>
    <w:rPr>
      <w:sz w:val="16"/>
      <w:szCs w:val="16"/>
    </w:rPr>
  </w:style>
  <w:style w:type="paragraph" w:styleId="CommentText">
    <w:name w:val="annotation text"/>
    <w:basedOn w:val="Normal"/>
    <w:link w:val="CommentTextChar"/>
    <w:uiPriority w:val="99"/>
    <w:unhideWhenUsed/>
    <w:rsid w:val="009939E2"/>
    <w:rPr>
      <w:rFonts w:ascii="Times New Roman" w:hAnsi="Times New Roman"/>
      <w:sz w:val="20"/>
      <w:lang w:eastAsia="en-GB"/>
    </w:rPr>
  </w:style>
  <w:style w:type="character" w:customStyle="1" w:styleId="CommentTextChar">
    <w:name w:val="Comment Text Char"/>
    <w:basedOn w:val="DefaultParagraphFont"/>
    <w:link w:val="CommentText"/>
    <w:uiPriority w:val="99"/>
    <w:rsid w:val="009939E2"/>
    <w:rPr>
      <w:rFonts w:ascii="Times New Roman" w:eastAsia="Times New Roman" w:hAnsi="Times New Roman" w:cs="Times New Roman"/>
      <w:sz w:val="20"/>
      <w:szCs w:val="20"/>
      <w:lang w:eastAsia="en-GB"/>
    </w:rPr>
  </w:style>
  <w:style w:type="paragraph" w:styleId="BodyText">
    <w:name w:val="Body Text"/>
    <w:basedOn w:val="Normal"/>
    <w:link w:val="BodyTextChar"/>
    <w:semiHidden/>
    <w:rsid w:val="009939E2"/>
    <w:pPr>
      <w:jc w:val="center"/>
    </w:pPr>
    <w:rPr>
      <w:rFonts w:ascii="Times New Roman" w:hAnsi="Times New Roman"/>
      <w:b/>
      <w:bCs/>
      <w:sz w:val="48"/>
      <w:szCs w:val="24"/>
    </w:rPr>
  </w:style>
  <w:style w:type="character" w:customStyle="1" w:styleId="BodyTextChar">
    <w:name w:val="Body Text Char"/>
    <w:basedOn w:val="DefaultParagraphFont"/>
    <w:link w:val="BodyText"/>
    <w:semiHidden/>
    <w:rsid w:val="009939E2"/>
    <w:rPr>
      <w:rFonts w:ascii="Times New Roman" w:eastAsia="Times New Roman" w:hAnsi="Times New Roman" w:cs="Times New Roman"/>
      <w:b/>
      <w:bCs/>
      <w:sz w:val="48"/>
      <w:szCs w:val="24"/>
    </w:rPr>
  </w:style>
  <w:style w:type="paragraph" w:styleId="TOCHeading">
    <w:name w:val="TOC Heading"/>
    <w:basedOn w:val="Heading1"/>
    <w:next w:val="Normal"/>
    <w:uiPriority w:val="39"/>
    <w:unhideWhenUsed/>
    <w:qFormat/>
    <w:rsid w:val="009939E2"/>
    <w:pPr>
      <w:spacing w:line="259" w:lineRule="auto"/>
      <w:outlineLvl w:val="9"/>
    </w:pPr>
    <w:rPr>
      <w:lang w:val="en-US" w:eastAsia="en-US"/>
    </w:rPr>
  </w:style>
  <w:style w:type="paragraph" w:styleId="TOC2">
    <w:name w:val="toc 2"/>
    <w:basedOn w:val="Normal"/>
    <w:next w:val="Normal"/>
    <w:autoRedefine/>
    <w:uiPriority w:val="39"/>
    <w:unhideWhenUsed/>
    <w:rsid w:val="00AD01AD"/>
    <w:pPr>
      <w:tabs>
        <w:tab w:val="left" w:pos="851"/>
        <w:tab w:val="right" w:leader="dot" w:pos="9016"/>
      </w:tabs>
      <w:spacing w:after="100"/>
      <w:ind w:left="220"/>
    </w:pPr>
  </w:style>
  <w:style w:type="paragraph" w:customStyle="1" w:styleId="Default">
    <w:name w:val="Default"/>
    <w:rsid w:val="009939E2"/>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9939E2"/>
    <w:pPr>
      <w:spacing w:after="100"/>
    </w:pPr>
    <w:rPr>
      <w:rFonts w:ascii="Times New Roman" w:hAnsi="Times New Roman"/>
      <w:sz w:val="24"/>
      <w:szCs w:val="24"/>
      <w:lang w:eastAsia="en-GB"/>
    </w:rPr>
  </w:style>
  <w:style w:type="table" w:styleId="ListTable3-Accent3">
    <w:name w:val="List Table 3 Accent 3"/>
    <w:basedOn w:val="TableNormal"/>
    <w:uiPriority w:val="48"/>
    <w:rsid w:val="00AA4D3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FollowedHyperlink">
    <w:name w:val="FollowedHyperlink"/>
    <w:basedOn w:val="DefaultParagraphFont"/>
    <w:uiPriority w:val="99"/>
    <w:semiHidden/>
    <w:unhideWhenUsed/>
    <w:rsid w:val="00E3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wleicestershire.sharepoint.com/sites/housing/Shared%20Documents/Forms/AllItems.aspx?RootFolder=%2Fsites%2Fhousing%2FShared%20Documents%2FHRA%20Business%20Support%20Team%2FHousing%20Policies%20and%20Strategies&amp;FolderCTID=0x012000E2B25A50CD18FE4FB1A160FB0597851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22F6FA259E0451DB0A51CEDE795729F"/>
        <w:category>
          <w:name w:val="General"/>
          <w:gallery w:val="placeholder"/>
        </w:category>
        <w:types>
          <w:type w:val="bbPlcHdr"/>
        </w:types>
        <w:behaviors>
          <w:behavior w:val="content"/>
        </w:behaviors>
        <w:guid w:val="{A003D8FB-0FF4-41E9-A5AD-F183EF7016E0}"/>
      </w:docPartPr>
      <w:docPartBody>
        <w:p w:rsidR="006E5368" w:rsidRDefault="006E5368" w:rsidP="006E5368">
          <w:pPr>
            <w:pStyle w:val="E22F6FA259E0451DB0A51CEDE795729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68"/>
    <w:rsid w:val="006E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2F6FA259E0451DB0A51CEDE795729F">
    <w:name w:val="E22F6FA259E0451DB0A51CEDE795729F"/>
    <w:rsid w:val="006E5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8BB9C405596468BA8800082120CBD" ma:contentTypeVersion="11" ma:contentTypeDescription="Create a new document." ma:contentTypeScope="" ma:versionID="763db7b59180d107d5d572611cfa2541">
  <xsd:schema xmlns:xsd="http://www.w3.org/2001/XMLSchema" xmlns:xs="http://www.w3.org/2001/XMLSchema" xmlns:p="http://schemas.microsoft.com/office/2006/metadata/properties" xmlns:ns2="15b4aa8f-8f89-42f2-ac0f-b0c629f4f978" xmlns:ns3="4cd16256-8a9d-4152-ba97-a643b44938fb" targetNamespace="http://schemas.microsoft.com/office/2006/metadata/properties" ma:root="true" ma:fieldsID="2aa4615e531f4d94cd975e060738270f" ns2:_="" ns3:_="">
    <xsd:import namespace="15b4aa8f-8f89-42f2-ac0f-b0c629f4f978"/>
    <xsd:import namespace="4cd16256-8a9d-4152-ba97-a643b449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aa8f-8f89-42f2-ac0f-b0c629f4f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16256-8a9d-4152-ba97-a643b44938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F i r s t T o u c h T e m p l a t e   x m l n s : x s i = " h t t p : / / w w w . w 3 . o r g / 2 0 0 1 / X M L S c h e m a - i n s t a n c e "   x m l n s : x s d = " h t t p : / / w w w . w 3 . o r g / 2 0 0 1 / X M L S c h e m a "   x m l n s = " u r n : 1 s t t o u c h . c o m / s c h e m a s / w o r d - t e m p l a t e - p r o p e r t i e s - 1 - 0 " >  
     < I t e m s / >  
 < / F i r s t T o u c h T e m p l a t 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02202-6E31-4629-B015-3A0F2B7A63D9}">
  <ds:schemaRefs>
    <ds:schemaRef ds:uri="http://schemas.microsoft.com/sharepoint/v3/contenttype/forms"/>
  </ds:schemaRefs>
</ds:datastoreItem>
</file>

<file path=customXml/itemProps2.xml><?xml version="1.0" encoding="utf-8"?>
<ds:datastoreItem xmlns:ds="http://schemas.openxmlformats.org/officeDocument/2006/customXml" ds:itemID="{DF04607D-6989-40A4-9F33-F1C927C2A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4aa8f-8f89-42f2-ac0f-b0c629f4f978"/>
    <ds:schemaRef ds:uri="4cd16256-8a9d-4152-ba97-a643b449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9FBEB-2F1C-41F7-80AC-FD483EF576C4}">
  <ds:schemaRefs>
    <ds:schemaRef ds:uri="http://www.w3.org/2001/XMLSchema"/>
    <ds:schemaRef ds:uri="urn:1sttouch.com/schemas/word-template-properties-1-0"/>
  </ds:schemaRefs>
</ds:datastoreItem>
</file>

<file path=customXml/itemProps4.xml><?xml version="1.0" encoding="utf-8"?>
<ds:datastoreItem xmlns:ds="http://schemas.openxmlformats.org/officeDocument/2006/customXml" ds:itemID="{64379E97-65A0-4907-8A99-FEB12C9C239C}">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4cd16256-8a9d-4152-ba97-a643b44938fb"/>
    <ds:schemaRef ds:uri="15b4aa8f-8f89-42f2-ac0f-b0c629f4f97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WALLACE</dc:creator>
  <cp:keywords/>
  <dc:description/>
  <cp:lastModifiedBy>DAVID SCRUTON</cp:lastModifiedBy>
  <cp:revision>2</cp:revision>
  <dcterms:created xsi:type="dcterms:W3CDTF">2024-03-18T11:42:00Z</dcterms:created>
  <dcterms:modified xsi:type="dcterms:W3CDTF">2024-03-18T11:42:00Z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0x01010031F8BB9C405596468BA8800082120CBD</vt:lpwstr>
  </property>
</Properties>
</file>