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CC1E" w14:textId="77777777" w:rsidR="00395E12" w:rsidRPr="00395E12" w:rsidRDefault="00395E12" w:rsidP="008B5A87">
      <w:pPr>
        <w:spacing w:after="0" w:line="240" w:lineRule="auto"/>
        <w:rPr>
          <w:b/>
          <w:sz w:val="24"/>
          <w:szCs w:val="24"/>
        </w:rPr>
      </w:pPr>
      <w:r w:rsidRPr="00395E12">
        <w:rPr>
          <w:b/>
          <w:sz w:val="24"/>
          <w:szCs w:val="24"/>
        </w:rPr>
        <w:t>Appendix 4</w:t>
      </w:r>
    </w:p>
    <w:sdt>
      <w:sdtPr>
        <w:rPr>
          <w:sz w:val="24"/>
          <w:szCs w:val="24"/>
        </w:rPr>
        <w:id w:val="1534689727"/>
        <w:docPartObj>
          <w:docPartGallery w:val="Cover Pages"/>
          <w:docPartUnique/>
        </w:docPartObj>
      </w:sdtPr>
      <w:sdtEndPr>
        <w:rPr>
          <w:rFonts w:cs="Arial"/>
          <w:b/>
        </w:rPr>
      </w:sdtEndPr>
      <w:sdtContent>
        <w:p w14:paraId="03A67963" w14:textId="77777777" w:rsidR="00E54EB7" w:rsidRPr="008B5A87" w:rsidRDefault="00E54EB7" w:rsidP="008B5A87">
          <w:pPr>
            <w:spacing w:after="0" w:line="240" w:lineRule="auto"/>
            <w:rPr>
              <w:sz w:val="24"/>
              <w:szCs w:val="24"/>
            </w:rPr>
          </w:pPr>
          <w:r w:rsidRPr="008B5A87">
            <w:rPr>
              <w:noProof/>
              <w:sz w:val="24"/>
              <w:szCs w:val="24"/>
              <w:lang w:eastAsia="en-GB"/>
            </w:rPr>
            <mc:AlternateContent>
              <mc:Choice Requires="wps">
                <w:drawing>
                  <wp:anchor distT="0" distB="0" distL="114300" distR="114300" simplePos="0" relativeHeight="251671040" behindDoc="1" locked="0" layoutInCell="1" allowOverlap="1" wp14:anchorId="7E6DE3D1" wp14:editId="58C9C8D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9F269EC" w14:textId="77777777" w:rsidR="004D6433" w:rsidRPr="00E54EB7" w:rsidRDefault="004D6433">
                                <w:pPr>
                                  <w:rPr>
                                    <w:sz w:val="20"/>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E6DE3D1" id="Rectangle 466" o:spid="_x0000_s1026" style="position:absolute;margin-left:0;margin-top:0;width:581.4pt;height:752.4pt;z-index:-2516454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Lt8QwzdAAAABwEAAA8AAABkcnMvZG93bnJldi54&#10;bWxMjzFPw0AMhXck/sPJSCwVvbRqoyrkUlGksjEQunS75NwkImdHuWsb/j0uCyyWrff0/L18O/le&#10;XXAMHZOBxTwBhVSz66gxcPjcP21AhWjJ2Z4JDXxjgG1xf5fbzPGVPvBSxkZJCIXMGmhjHDKtQ92i&#10;t2HOA5JoJx69jXKOjXajvUq47/UySVLtbUfyobUDvrZYf5Vnb2CfxmN34uPb+jBLh1m5W71XOzbm&#10;8WF6eQYVcYp/ZrjhCzoUwlTxmVxQvQEpEn/nTVukS+lRybZOVhvQRa7/8xc/AAAA//8DAFBLAQIt&#10;ABQABgAIAAAAIQC2gziS/gAAAOEBAAATAAAAAAAAAAAAAAAAAAAAAABbQ29udGVudF9UeXBlc10u&#10;eG1sUEsBAi0AFAAGAAgAAAAhADj9If/WAAAAlAEAAAsAAAAAAAAAAAAAAAAALwEAAF9yZWxzLy5y&#10;ZWxzUEsBAi0AFAAGAAgAAAAhAMiUOqLTAgAAhAYAAA4AAAAAAAAAAAAAAAAALgIAAGRycy9lMm9E&#10;b2MueG1sUEsBAi0AFAAGAAgAAAAhALt8QwzdAAAABwEAAA8AAAAAAAAAAAAAAAAALQUAAGRycy9k&#10;b3ducmV2LnhtbFBLBQYAAAAABAAEAPMAAAA3BgAAAAA=&#10;" fillcolor="#deeaf6 [660]" stroked="f" strokeweight="1pt">
                    <v:fill color2="#9cc2e5 [1940]" rotate="t" focus="100%" type="gradient">
                      <o:fill v:ext="view" type="gradientUnscaled"/>
                    </v:fill>
                    <v:textbox inset="21.6pt,,21.6pt">
                      <w:txbxContent>
                        <w:p w14:paraId="39F269EC" w14:textId="77777777" w:rsidR="004D6433" w:rsidRPr="00E54EB7" w:rsidRDefault="004D6433">
                          <w:pPr>
                            <w:rPr>
                              <w:sz w:val="20"/>
                            </w:rPr>
                          </w:pPr>
                        </w:p>
                      </w:txbxContent>
                    </v:textbox>
                    <w10:wrap anchorx="page" anchory="page"/>
                  </v:rect>
                </w:pict>
              </mc:Fallback>
            </mc:AlternateContent>
          </w:r>
          <w:r w:rsidRPr="008B5A87">
            <w:rPr>
              <w:noProof/>
              <w:sz w:val="24"/>
              <w:szCs w:val="24"/>
              <w:lang w:eastAsia="en-GB"/>
            </w:rPr>
            <mc:AlternateContent>
              <mc:Choice Requires="wps">
                <w:drawing>
                  <wp:anchor distT="0" distB="0" distL="114300" distR="114300" simplePos="0" relativeHeight="251648512" behindDoc="0" locked="0" layoutInCell="1" allowOverlap="1" wp14:anchorId="502A4940" wp14:editId="01490D1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B08758" w14:textId="77777777" w:rsidR="004D6433" w:rsidRPr="00E54EB7" w:rsidRDefault="004D6433">
                                <w:pPr>
                                  <w:spacing w:before="240"/>
                                  <w:jc w:val="center"/>
                                  <w:rPr>
                                    <w:b/>
                                    <w:color w:val="FFFFFF" w:themeColor="background1"/>
                                    <w:sz w:val="58"/>
                                    <w:szCs w:val="58"/>
                                  </w:rPr>
                                </w:pPr>
                                <w:r>
                                  <w:rPr>
                                    <w:b/>
                                    <w:color w:val="FFFFFF" w:themeColor="background1"/>
                                    <w:sz w:val="58"/>
                                    <w:szCs w:val="58"/>
                                  </w:rPr>
                                  <w:t>Blackfordby Local area</w:t>
                                </w:r>
                                <w:r w:rsidRPr="00E54EB7">
                                  <w:rPr>
                                    <w:b/>
                                    <w:color w:val="FFFFFF" w:themeColor="background1"/>
                                    <w:sz w:val="58"/>
                                    <w:szCs w:val="58"/>
                                  </w:rPr>
                                  <w:t xml:space="preserve"> Neighbourhood Plan</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02A4940" id="Rectangle 467" o:spid="_x0000_s1027" style="position:absolute;margin-left:0;margin-top:0;width:226.45pt;height:237.6pt;z-index:25164851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14:paraId="6EB08758" w14:textId="77777777" w:rsidR="004D6433" w:rsidRPr="00E54EB7" w:rsidRDefault="004D6433">
                          <w:pPr>
                            <w:spacing w:before="240"/>
                            <w:jc w:val="center"/>
                            <w:rPr>
                              <w:b/>
                              <w:color w:val="FFFFFF" w:themeColor="background1"/>
                              <w:sz w:val="58"/>
                              <w:szCs w:val="58"/>
                            </w:rPr>
                          </w:pPr>
                          <w:r>
                            <w:rPr>
                              <w:b/>
                              <w:color w:val="FFFFFF" w:themeColor="background1"/>
                              <w:sz w:val="58"/>
                              <w:szCs w:val="58"/>
                            </w:rPr>
                            <w:t>Blackfordby Local area</w:t>
                          </w:r>
                          <w:r w:rsidRPr="00E54EB7">
                            <w:rPr>
                              <w:b/>
                              <w:color w:val="FFFFFF" w:themeColor="background1"/>
                              <w:sz w:val="58"/>
                              <w:szCs w:val="58"/>
                            </w:rPr>
                            <w:t xml:space="preserve"> Neighbourhood Plan</w:t>
                          </w:r>
                        </w:p>
                      </w:txbxContent>
                    </v:textbox>
                    <w10:wrap anchorx="page" anchory="page"/>
                  </v:rect>
                </w:pict>
              </mc:Fallback>
            </mc:AlternateContent>
          </w:r>
          <w:r w:rsidRPr="008B5A87">
            <w:rPr>
              <w:noProof/>
              <w:sz w:val="24"/>
              <w:szCs w:val="24"/>
              <w:lang w:eastAsia="en-GB"/>
            </w:rPr>
            <mc:AlternateContent>
              <mc:Choice Requires="wps">
                <w:drawing>
                  <wp:anchor distT="0" distB="0" distL="114300" distR="114300" simplePos="0" relativeHeight="251641344" behindDoc="0" locked="0" layoutInCell="1" allowOverlap="1" wp14:anchorId="6A881A52" wp14:editId="0266BC5F">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F571D22" id="Rectangle 468" o:spid="_x0000_s1026" style="position:absolute;margin-left:0;margin-top:0;width:244.8pt;height:554.4pt;z-index:25164134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sidRPr="008B5A87">
            <w:rPr>
              <w:noProof/>
              <w:sz w:val="24"/>
              <w:szCs w:val="24"/>
              <w:lang w:eastAsia="en-GB"/>
            </w:rPr>
            <mc:AlternateContent>
              <mc:Choice Requires="wps">
                <w:drawing>
                  <wp:anchor distT="0" distB="0" distL="114300" distR="114300" simplePos="0" relativeHeight="251663872" behindDoc="0" locked="0" layoutInCell="1" allowOverlap="1" wp14:anchorId="3A553BC3" wp14:editId="72E28AF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0B08743" id="Rectangle 469" o:spid="_x0000_s1026" style="position:absolute;margin-left:0;margin-top:0;width:226.45pt;height:9.35pt;z-index:25166387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sidRPr="008B5A87">
            <w:rPr>
              <w:noProof/>
              <w:sz w:val="24"/>
              <w:szCs w:val="24"/>
              <w:lang w:eastAsia="en-GB"/>
            </w:rPr>
            <mc:AlternateContent>
              <mc:Choice Requires="wps">
                <w:drawing>
                  <wp:anchor distT="0" distB="0" distL="114300" distR="114300" simplePos="0" relativeHeight="251655680" behindDoc="0" locked="0" layoutInCell="1" allowOverlap="1" wp14:anchorId="77FA48D9" wp14:editId="57C9974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8D9DCBD" w14:textId="77777777" w:rsidR="004D6433" w:rsidRPr="00E54EB7" w:rsidRDefault="004D6433" w:rsidP="00E54EB7">
                                    <w:pPr>
                                      <w:spacing w:line="240" w:lineRule="auto"/>
                                      <w:jc w:val="center"/>
                                      <w:rPr>
                                        <w:rFonts w:asciiTheme="majorHAnsi" w:eastAsiaTheme="majorEastAsia" w:hAnsiTheme="majorHAnsi" w:cstheme="majorBidi"/>
                                        <w:b/>
                                        <w:noProof/>
                                        <w:color w:val="5B9BD5" w:themeColor="accent1"/>
                                        <w:sz w:val="72"/>
                                        <w:szCs w:val="144"/>
                                      </w:rPr>
                                    </w:pPr>
                                    <w:r w:rsidRPr="00E54EB7">
                                      <w:rPr>
                                        <w:rFonts w:asciiTheme="majorHAnsi" w:eastAsiaTheme="majorEastAsia" w:hAnsiTheme="majorHAnsi" w:cstheme="majorBidi"/>
                                        <w:b/>
                                        <w:noProof/>
                                        <w:color w:val="5B9BD5" w:themeColor="accent1"/>
                                        <w:sz w:val="72"/>
                                        <w:szCs w:val="72"/>
                                      </w:rPr>
                                      <w:t>Housing Needs Report</w:t>
                                    </w:r>
                                  </w:p>
                                </w:sdtContent>
                              </w:sdt>
                              <w:sdt>
                                <w:sdtPr>
                                  <w:rPr>
                                    <w:rFonts w:asciiTheme="majorHAnsi" w:eastAsiaTheme="majorEastAsia" w:hAnsiTheme="majorHAnsi" w:cstheme="majorBidi"/>
                                    <w:b/>
                                    <w:noProof/>
                                    <w:color w:val="44546A" w:themeColor="text2"/>
                                    <w:sz w:val="40"/>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68F616EC" w14:textId="77777777" w:rsidR="004D6433" w:rsidRPr="00E54EB7" w:rsidRDefault="004D6433" w:rsidP="00957C27">
                                    <w:pPr>
                                      <w:jc w:val="center"/>
                                      <w:rPr>
                                        <w:rFonts w:asciiTheme="majorHAnsi" w:eastAsiaTheme="majorEastAsia" w:hAnsiTheme="majorHAnsi" w:cstheme="majorBidi"/>
                                        <w:b/>
                                        <w:noProof/>
                                        <w:color w:val="44546A" w:themeColor="text2"/>
                                        <w:sz w:val="40"/>
                                        <w:szCs w:val="40"/>
                                      </w:rPr>
                                    </w:pPr>
                                    <w:r>
                                      <w:rPr>
                                        <w:rFonts w:asciiTheme="majorHAnsi" w:eastAsiaTheme="majorEastAsia" w:hAnsiTheme="majorHAnsi" w:cstheme="majorBidi"/>
                                        <w:b/>
                                        <w:noProof/>
                                        <w:color w:val="44546A" w:themeColor="text2"/>
                                        <w:sz w:val="40"/>
                                        <w:szCs w:val="32"/>
                                      </w:rPr>
                                      <w:t>January 2018</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77FA48D9" id="_x0000_t202" coordsize="21600,21600" o:spt="202" path="m,l,21600r21600,l21600,xe">
                    <v:stroke joinstyle="miter"/>
                    <v:path gradientshapeok="t" o:connecttype="rect"/>
                  </v:shapetype>
                  <v:shape id="Text Box 470" o:spid="_x0000_s1028" type="#_x0000_t202" style="position:absolute;margin-left:0;margin-top:0;width:220.3pt;height:194.9pt;z-index:25165568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b/>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8D9DCBD" w14:textId="77777777" w:rsidR="004D6433" w:rsidRPr="00E54EB7" w:rsidRDefault="004D6433" w:rsidP="00E54EB7">
                              <w:pPr>
                                <w:spacing w:line="240" w:lineRule="auto"/>
                                <w:jc w:val="center"/>
                                <w:rPr>
                                  <w:rFonts w:asciiTheme="majorHAnsi" w:eastAsiaTheme="majorEastAsia" w:hAnsiTheme="majorHAnsi" w:cstheme="majorBidi"/>
                                  <w:b/>
                                  <w:noProof/>
                                  <w:color w:val="5B9BD5" w:themeColor="accent1"/>
                                  <w:sz w:val="72"/>
                                  <w:szCs w:val="144"/>
                                </w:rPr>
                              </w:pPr>
                              <w:r w:rsidRPr="00E54EB7">
                                <w:rPr>
                                  <w:rFonts w:asciiTheme="majorHAnsi" w:eastAsiaTheme="majorEastAsia" w:hAnsiTheme="majorHAnsi" w:cstheme="majorBidi"/>
                                  <w:b/>
                                  <w:noProof/>
                                  <w:color w:val="5B9BD5" w:themeColor="accent1"/>
                                  <w:sz w:val="72"/>
                                  <w:szCs w:val="72"/>
                                </w:rPr>
                                <w:t>Housing Needs Report</w:t>
                              </w:r>
                            </w:p>
                          </w:sdtContent>
                        </w:sdt>
                        <w:sdt>
                          <w:sdtPr>
                            <w:rPr>
                              <w:rFonts w:asciiTheme="majorHAnsi" w:eastAsiaTheme="majorEastAsia" w:hAnsiTheme="majorHAnsi" w:cstheme="majorBidi"/>
                              <w:b/>
                              <w:noProof/>
                              <w:color w:val="44546A" w:themeColor="text2"/>
                              <w:sz w:val="40"/>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68F616EC" w14:textId="77777777" w:rsidR="004D6433" w:rsidRPr="00E54EB7" w:rsidRDefault="004D6433" w:rsidP="00957C27">
                              <w:pPr>
                                <w:jc w:val="center"/>
                                <w:rPr>
                                  <w:rFonts w:asciiTheme="majorHAnsi" w:eastAsiaTheme="majorEastAsia" w:hAnsiTheme="majorHAnsi" w:cstheme="majorBidi"/>
                                  <w:b/>
                                  <w:noProof/>
                                  <w:color w:val="44546A" w:themeColor="text2"/>
                                  <w:sz w:val="40"/>
                                  <w:szCs w:val="40"/>
                                </w:rPr>
                              </w:pPr>
                              <w:r>
                                <w:rPr>
                                  <w:rFonts w:asciiTheme="majorHAnsi" w:eastAsiaTheme="majorEastAsia" w:hAnsiTheme="majorHAnsi" w:cstheme="majorBidi"/>
                                  <w:b/>
                                  <w:noProof/>
                                  <w:color w:val="44546A" w:themeColor="text2"/>
                                  <w:sz w:val="40"/>
                                  <w:szCs w:val="32"/>
                                </w:rPr>
                                <w:t>January 2018</w:t>
                              </w:r>
                            </w:p>
                          </w:sdtContent>
                        </w:sdt>
                      </w:txbxContent>
                    </v:textbox>
                    <w10:wrap type="square" anchorx="page" anchory="page"/>
                  </v:shape>
                </w:pict>
              </mc:Fallback>
            </mc:AlternateContent>
          </w:r>
        </w:p>
        <w:p w14:paraId="248B8064" w14:textId="77777777" w:rsidR="00E54EB7" w:rsidRPr="008B5A87" w:rsidRDefault="00E54EB7" w:rsidP="008B5A87">
          <w:pPr>
            <w:spacing w:after="0" w:line="240" w:lineRule="auto"/>
            <w:rPr>
              <w:rFonts w:cs="Arial"/>
              <w:b/>
              <w:sz w:val="24"/>
              <w:szCs w:val="24"/>
            </w:rPr>
          </w:pPr>
          <w:r w:rsidRPr="008B5A87">
            <w:rPr>
              <w:noProof/>
              <w:sz w:val="24"/>
              <w:szCs w:val="24"/>
              <w:lang w:eastAsia="en-GB"/>
            </w:rPr>
            <mc:AlternateContent>
              <mc:Choice Requires="wps">
                <w:drawing>
                  <wp:anchor distT="0" distB="0" distL="114300" distR="114300" simplePos="0" relativeHeight="251678208" behindDoc="0" locked="0" layoutInCell="1" allowOverlap="1" wp14:anchorId="6BBE6985" wp14:editId="02E2F986">
                    <wp:simplePos x="0" y="0"/>
                    <wp:positionH relativeFrom="page">
                      <wp:posOffset>3455035</wp:posOffset>
                    </wp:positionH>
                    <wp:positionV relativeFrom="page">
                      <wp:posOffset>6835775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ADD99AC" w14:textId="77777777" w:rsidR="004D6433" w:rsidRDefault="004D6433">
                                <w:pPr>
                                  <w:pStyle w:val="NoSpacing"/>
                                  <w:rPr>
                                    <w:noProof/>
                                    <w:color w:val="44546A" w:themeColor="text2"/>
                                  </w:rPr>
                                </w:pPr>
                                <w:r w:rsidRPr="00E54EB7">
                                  <w:rPr>
                                    <w:noProof/>
                                    <w:color w:val="44546A" w:themeColor="text2"/>
                                  </w:rPr>
                                  <w:t xml:space="preserve">Prepared by </w:t>
                                </w:r>
                                <w:r w:rsidRPr="009F61A3">
                                  <w:rPr>
                                    <w:i/>
                                    <w:noProof/>
                                    <w:color w:val="44546A" w:themeColor="text2"/>
                                  </w:rPr>
                                  <w:t>Your</w:t>
                                </w:r>
                                <w:r w:rsidRPr="00E54EB7">
                                  <w:rPr>
                                    <w:noProof/>
                                    <w:color w:val="44546A" w:themeColor="text2"/>
                                  </w:rPr>
                                  <w:t xml:space="preserve">Locale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6BBE6985" id="Text Box 465" o:spid="_x0000_s1029" type="#_x0000_t202" style="position:absolute;margin-left:272.05pt;margin-top:538.25pt;width:220.3pt;height:21.15pt;z-index:25167820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FE+hrDhAAAADQEA&#10;AA8AAABkcnMvZG93bnJldi54bWxMj8FOwzAMhu9IvENkJG4sKWq3rDSd0BASiNMGEtota01brXFK&#10;k23l7TGncbT/T78/F6vJ9eKEY+g8GUhmCgRS5euOGgMf7893GkSIlmrbe0IDPxhgVV5fFTav/Zk2&#10;eNrGRnAJhdwaaGMccilD1aKzYeYHJM6+/Ohs5HFsZD3aM5e7Xt4rNZfOdsQXWjvgusXqsD06A29r&#10;+USfXr0eXmyD3z1mG613xtzeTI8PICJO8QLDnz6rQ8lOe3+kOojeQJamCaMcqMU8A8HIUqcLEHte&#10;JYnWIMtC/v+i/AUAAP//AwBQSwECLQAUAAYACAAAACEAtoM4kv4AAADhAQAAEwAAAAAAAAAAAAAA&#10;AAAAAAAAW0NvbnRlbnRfVHlwZXNdLnhtbFBLAQItABQABgAIAAAAIQA4/SH/1gAAAJQBAAALAAAA&#10;AAAAAAAAAAAAAC8BAABfcmVscy8ucmVsc1BLAQItABQABgAIAAAAIQB5AEJkOgIAAGoEAAAOAAAA&#10;AAAAAAAAAAAAAC4CAABkcnMvZTJvRG9jLnhtbFBLAQItABQABgAIAAAAIQBRPoaw4QAAAA0BAAAP&#10;AAAAAAAAAAAAAAAAAJQEAABkcnMvZG93bnJldi54bWxQSwUGAAAAAAQABADzAAAAogUAAAAA&#10;" filled="f" stroked="f" strokeweight=".5pt">
                    <v:textbox style="mso-fit-shape-to-text:t">
                      <w:txbxContent>
                        <w:p w14:paraId="2ADD99AC" w14:textId="77777777" w:rsidR="004D6433" w:rsidRDefault="004D6433">
                          <w:pPr>
                            <w:pStyle w:val="NoSpacing"/>
                            <w:rPr>
                              <w:noProof/>
                              <w:color w:val="44546A" w:themeColor="text2"/>
                            </w:rPr>
                          </w:pPr>
                          <w:r w:rsidRPr="00E54EB7">
                            <w:rPr>
                              <w:noProof/>
                              <w:color w:val="44546A" w:themeColor="text2"/>
                            </w:rPr>
                            <w:t xml:space="preserve">Prepared by </w:t>
                          </w:r>
                          <w:r w:rsidRPr="009F61A3">
                            <w:rPr>
                              <w:i/>
                              <w:noProof/>
                              <w:color w:val="44546A" w:themeColor="text2"/>
                            </w:rPr>
                            <w:t>Your</w:t>
                          </w:r>
                          <w:r w:rsidRPr="00E54EB7">
                            <w:rPr>
                              <w:noProof/>
                              <w:color w:val="44546A" w:themeColor="text2"/>
                            </w:rPr>
                            <w:t xml:space="preserve">Locale </w:t>
                          </w:r>
                        </w:p>
                      </w:txbxContent>
                    </v:textbox>
                    <w10:wrap type="square" anchorx="page" anchory="page"/>
                  </v:shape>
                </w:pict>
              </mc:Fallback>
            </mc:AlternateContent>
          </w:r>
          <w:r w:rsidRPr="008B5A87">
            <w:rPr>
              <w:rFonts w:cs="Arial"/>
              <w:b/>
              <w:sz w:val="24"/>
              <w:szCs w:val="24"/>
            </w:rPr>
            <w:br w:type="page"/>
          </w:r>
        </w:p>
      </w:sdtContent>
    </w:sdt>
    <w:p w14:paraId="16C9435D" w14:textId="77777777" w:rsidR="00292563" w:rsidRPr="00A173BC" w:rsidRDefault="00F64A4F" w:rsidP="008B5A87">
      <w:pPr>
        <w:pStyle w:val="Heading2"/>
        <w:jc w:val="center"/>
        <w:rPr>
          <w:rFonts w:ascii="Verdana" w:eastAsiaTheme="minorHAnsi" w:hAnsi="Verdana" w:cs="Arial"/>
          <w:b/>
          <w:color w:val="auto"/>
          <w:sz w:val="28"/>
          <w:szCs w:val="24"/>
        </w:rPr>
      </w:pPr>
      <w:r>
        <w:rPr>
          <w:rFonts w:ascii="Verdana" w:eastAsiaTheme="minorHAnsi" w:hAnsi="Verdana" w:cs="Arial"/>
          <w:b/>
          <w:color w:val="auto"/>
          <w:sz w:val="28"/>
          <w:szCs w:val="24"/>
        </w:rPr>
        <w:lastRenderedPageBreak/>
        <w:t>BLACKFORDBY</w:t>
      </w:r>
      <w:r w:rsidR="00E36FF9" w:rsidRPr="00A173BC">
        <w:rPr>
          <w:rFonts w:ascii="Verdana" w:eastAsiaTheme="minorHAnsi" w:hAnsi="Verdana" w:cs="Arial"/>
          <w:b/>
          <w:color w:val="auto"/>
          <w:sz w:val="28"/>
          <w:szCs w:val="24"/>
        </w:rPr>
        <w:t xml:space="preserve"> </w:t>
      </w:r>
      <w:r>
        <w:rPr>
          <w:rFonts w:ascii="Verdana" w:eastAsiaTheme="minorHAnsi" w:hAnsi="Verdana" w:cs="Arial"/>
          <w:b/>
          <w:color w:val="auto"/>
          <w:sz w:val="28"/>
          <w:szCs w:val="24"/>
        </w:rPr>
        <w:t>LOCAL AREA</w:t>
      </w:r>
      <w:r w:rsidR="00731E40" w:rsidRPr="00A173BC">
        <w:rPr>
          <w:rFonts w:ascii="Verdana" w:eastAsiaTheme="minorHAnsi" w:hAnsi="Verdana" w:cs="Arial"/>
          <w:b/>
          <w:color w:val="auto"/>
          <w:sz w:val="28"/>
          <w:szCs w:val="24"/>
        </w:rPr>
        <w:t xml:space="preserve"> </w:t>
      </w:r>
      <w:r w:rsidR="00A25FFE" w:rsidRPr="00A173BC">
        <w:rPr>
          <w:rFonts w:ascii="Verdana" w:eastAsiaTheme="minorHAnsi" w:hAnsi="Verdana" w:cs="Arial"/>
          <w:b/>
          <w:color w:val="auto"/>
          <w:sz w:val="28"/>
          <w:szCs w:val="24"/>
        </w:rPr>
        <w:t>NEIGHBOURHOOD PLAN</w:t>
      </w:r>
    </w:p>
    <w:p w14:paraId="422A01C1" w14:textId="77777777" w:rsidR="00F65A8E" w:rsidRPr="00A173BC" w:rsidRDefault="00F65A8E" w:rsidP="008B5A87">
      <w:pPr>
        <w:pStyle w:val="NoSpacing"/>
        <w:jc w:val="center"/>
        <w:rPr>
          <w:rFonts w:ascii="Verdana" w:hAnsi="Verdana" w:cs="Arial"/>
          <w:b/>
          <w:sz w:val="28"/>
          <w:szCs w:val="24"/>
        </w:rPr>
      </w:pPr>
      <w:r w:rsidRPr="00A173BC">
        <w:rPr>
          <w:rFonts w:ascii="Verdana" w:hAnsi="Verdana" w:cs="Arial"/>
          <w:b/>
          <w:sz w:val="28"/>
          <w:szCs w:val="24"/>
        </w:rPr>
        <w:t xml:space="preserve">HOUSING </w:t>
      </w:r>
      <w:r w:rsidR="00B47BDC" w:rsidRPr="00A173BC">
        <w:rPr>
          <w:rFonts w:ascii="Verdana" w:hAnsi="Verdana" w:cs="Arial"/>
          <w:b/>
          <w:sz w:val="28"/>
          <w:szCs w:val="24"/>
        </w:rPr>
        <w:t>NEEDS</w:t>
      </w:r>
    </w:p>
    <w:p w14:paraId="60922114" w14:textId="77777777" w:rsidR="00CD6B36" w:rsidRPr="00F37FDE" w:rsidRDefault="00CD6B36" w:rsidP="008B5A87">
      <w:pPr>
        <w:pStyle w:val="NoSpacing"/>
        <w:jc w:val="both"/>
        <w:rPr>
          <w:rFonts w:ascii="Verdana" w:hAnsi="Verdana" w:cs="Arial"/>
          <w:b/>
          <w:sz w:val="24"/>
          <w:szCs w:val="24"/>
          <w:u w:val="single"/>
        </w:rPr>
      </w:pPr>
    </w:p>
    <w:p w14:paraId="610BDF8B" w14:textId="77777777" w:rsidR="00662A27" w:rsidRPr="00F37FDE" w:rsidRDefault="00A25FFE" w:rsidP="008B5A87">
      <w:pPr>
        <w:pStyle w:val="NoSpacing"/>
        <w:jc w:val="both"/>
        <w:rPr>
          <w:rFonts w:ascii="Verdana" w:hAnsi="Verdana" w:cs="Arial"/>
          <w:b/>
          <w:sz w:val="28"/>
          <w:szCs w:val="24"/>
        </w:rPr>
      </w:pPr>
      <w:r w:rsidRPr="00F37FDE">
        <w:rPr>
          <w:rFonts w:ascii="Verdana" w:hAnsi="Verdana" w:cs="Arial"/>
          <w:b/>
          <w:sz w:val="28"/>
          <w:szCs w:val="24"/>
        </w:rPr>
        <w:t>Introduction</w:t>
      </w:r>
    </w:p>
    <w:p w14:paraId="1F8BCB30" w14:textId="7ED976D8" w:rsidR="00FA5429" w:rsidRDefault="00FA5429" w:rsidP="00FA5429">
      <w:pPr>
        <w:pStyle w:val="NoSpacing"/>
        <w:spacing w:before="120"/>
        <w:jc w:val="both"/>
        <w:rPr>
          <w:rFonts w:ascii="Verdana" w:hAnsi="Verdana" w:cs="Arial"/>
          <w:sz w:val="24"/>
          <w:szCs w:val="24"/>
        </w:rPr>
      </w:pPr>
      <w:r>
        <w:rPr>
          <w:rFonts w:ascii="Verdana" w:hAnsi="Verdana" w:cs="Arial"/>
          <w:sz w:val="24"/>
          <w:szCs w:val="24"/>
        </w:rPr>
        <w:t xml:space="preserve">This report </w:t>
      </w:r>
      <w:r w:rsidRPr="008F17AD">
        <w:rPr>
          <w:rFonts w:ascii="Verdana" w:hAnsi="Verdana" w:cs="Arial"/>
          <w:sz w:val="24"/>
          <w:szCs w:val="24"/>
        </w:rPr>
        <w:t xml:space="preserve">provides an analysis of housing issues in the </w:t>
      </w:r>
      <w:r w:rsidR="00F64A4F" w:rsidRPr="008F17AD">
        <w:rPr>
          <w:rFonts w:ascii="Verdana" w:hAnsi="Verdana" w:cs="Arial"/>
          <w:sz w:val="24"/>
          <w:szCs w:val="24"/>
        </w:rPr>
        <w:t>Blackfordby</w:t>
      </w:r>
      <w:r w:rsidRPr="008F17AD">
        <w:rPr>
          <w:rFonts w:ascii="Verdana" w:hAnsi="Verdana" w:cs="Arial"/>
          <w:sz w:val="24"/>
          <w:szCs w:val="24"/>
        </w:rPr>
        <w:t xml:space="preserve"> </w:t>
      </w:r>
      <w:r w:rsidR="00F64A4F" w:rsidRPr="008F17AD">
        <w:rPr>
          <w:rFonts w:ascii="Verdana" w:hAnsi="Verdana" w:cs="Arial"/>
          <w:sz w:val="24"/>
          <w:szCs w:val="24"/>
        </w:rPr>
        <w:t>local</w:t>
      </w:r>
      <w:r w:rsidRPr="008F17AD">
        <w:rPr>
          <w:rFonts w:ascii="Verdana" w:hAnsi="Verdana" w:cs="Arial"/>
          <w:sz w:val="24"/>
          <w:szCs w:val="24"/>
        </w:rPr>
        <w:t xml:space="preserve"> area to support its Neighbourhood Plan policies.</w:t>
      </w:r>
      <w:r w:rsidR="008F17AD" w:rsidRPr="008F17AD">
        <w:t xml:space="preserve"> </w:t>
      </w:r>
      <w:r w:rsidRPr="008F17AD">
        <w:rPr>
          <w:rFonts w:ascii="Verdana" w:hAnsi="Verdana" w:cs="Arial"/>
          <w:sz w:val="24"/>
          <w:szCs w:val="24"/>
        </w:rPr>
        <w:t>The report draws on the latest available data from the Census, Land Registry</w:t>
      </w:r>
      <w:r w:rsidR="005F6DAE" w:rsidRPr="008F17AD">
        <w:rPr>
          <w:rFonts w:ascii="Verdana" w:hAnsi="Verdana" w:cs="Arial"/>
          <w:sz w:val="24"/>
          <w:szCs w:val="24"/>
        </w:rPr>
        <w:t xml:space="preserve">, Valuation Office Agency, </w:t>
      </w:r>
      <w:r w:rsidRPr="008F17AD">
        <w:rPr>
          <w:rFonts w:ascii="Verdana" w:hAnsi="Verdana" w:cs="Arial"/>
          <w:sz w:val="24"/>
          <w:szCs w:val="24"/>
        </w:rPr>
        <w:t>Office</w:t>
      </w:r>
      <w:r>
        <w:rPr>
          <w:rFonts w:ascii="Verdana" w:hAnsi="Verdana" w:cs="Arial"/>
          <w:sz w:val="24"/>
          <w:szCs w:val="24"/>
        </w:rPr>
        <w:t xml:space="preserve"> for National Statistics, small area model-based income estimates and local consultation exercises. The results outlined in this Housing Needs Survey Report and any future Housing Needs Survey will influence the policies of the </w:t>
      </w:r>
      <w:r w:rsidR="00F64A4F">
        <w:rPr>
          <w:rFonts w:ascii="Verdana" w:hAnsi="Verdana" w:cs="Arial"/>
          <w:sz w:val="24"/>
          <w:szCs w:val="24"/>
        </w:rPr>
        <w:t>Blackfordby</w:t>
      </w:r>
      <w:r>
        <w:rPr>
          <w:rFonts w:ascii="Verdana" w:hAnsi="Verdana" w:cs="Arial"/>
          <w:sz w:val="24"/>
          <w:szCs w:val="24"/>
        </w:rPr>
        <w:t xml:space="preserve"> </w:t>
      </w:r>
      <w:r w:rsidR="003859F1">
        <w:rPr>
          <w:rFonts w:ascii="Verdana" w:hAnsi="Verdana" w:cs="Arial"/>
          <w:sz w:val="24"/>
          <w:szCs w:val="24"/>
        </w:rPr>
        <w:t>l</w:t>
      </w:r>
      <w:r w:rsidR="00F64A4F">
        <w:rPr>
          <w:rFonts w:ascii="Verdana" w:hAnsi="Verdana" w:cs="Arial"/>
          <w:sz w:val="24"/>
          <w:szCs w:val="24"/>
        </w:rPr>
        <w:t>ocal area</w:t>
      </w:r>
      <w:r>
        <w:rPr>
          <w:rFonts w:ascii="Verdana" w:hAnsi="Verdana" w:cs="Arial"/>
          <w:sz w:val="24"/>
          <w:szCs w:val="24"/>
        </w:rPr>
        <w:t xml:space="preserve"> Neighbourhood Plan. </w:t>
      </w:r>
    </w:p>
    <w:p w14:paraId="50FEB54C" w14:textId="77777777" w:rsidR="00662A27" w:rsidRDefault="00662A27" w:rsidP="008B5A87">
      <w:pPr>
        <w:pStyle w:val="NoSpacing"/>
        <w:jc w:val="both"/>
        <w:rPr>
          <w:rFonts w:ascii="Verdana" w:hAnsi="Verdana" w:cs="Arial"/>
          <w:b/>
          <w:sz w:val="24"/>
          <w:szCs w:val="24"/>
        </w:rPr>
      </w:pPr>
    </w:p>
    <w:p w14:paraId="567DFBAD" w14:textId="77777777" w:rsidR="00A75849" w:rsidRPr="00CA7102" w:rsidRDefault="00A75849" w:rsidP="008B5A87">
      <w:pPr>
        <w:pStyle w:val="NoSpacing"/>
        <w:jc w:val="both"/>
        <w:rPr>
          <w:rFonts w:ascii="Verdana" w:hAnsi="Verdana" w:cs="Arial"/>
          <w:b/>
          <w:sz w:val="24"/>
          <w:szCs w:val="24"/>
        </w:rPr>
      </w:pPr>
    </w:p>
    <w:p w14:paraId="3A2CF83C" w14:textId="77777777" w:rsidR="00731E40" w:rsidRPr="00F37FDE" w:rsidRDefault="0045177B" w:rsidP="008B5A87">
      <w:pPr>
        <w:pStyle w:val="NoSpacing"/>
        <w:jc w:val="both"/>
        <w:rPr>
          <w:rFonts w:ascii="Verdana" w:hAnsi="Verdana" w:cs="Arial"/>
          <w:b/>
          <w:sz w:val="24"/>
          <w:szCs w:val="24"/>
        </w:rPr>
      </w:pPr>
      <w:r w:rsidRPr="00F37FDE">
        <w:rPr>
          <w:rFonts w:ascii="Verdana" w:hAnsi="Verdana" w:cs="Arial"/>
          <w:b/>
          <w:sz w:val="24"/>
          <w:szCs w:val="24"/>
        </w:rPr>
        <w:t>Population Age Profile</w:t>
      </w:r>
    </w:p>
    <w:p w14:paraId="6A3BEE36" w14:textId="77777777" w:rsidR="00833910" w:rsidRDefault="00FE0E4E" w:rsidP="008B5A87">
      <w:pPr>
        <w:pStyle w:val="NoSpacing"/>
        <w:spacing w:before="120"/>
        <w:jc w:val="both"/>
        <w:rPr>
          <w:rFonts w:ascii="Verdana" w:hAnsi="Verdana" w:cs="Arial"/>
          <w:sz w:val="24"/>
          <w:szCs w:val="24"/>
        </w:rPr>
      </w:pPr>
      <w:bookmarkStart w:id="0" w:name="OLE_LINK3"/>
      <w:bookmarkStart w:id="1" w:name="OLE_LINK4"/>
      <w:r w:rsidRPr="00F37FDE">
        <w:rPr>
          <w:rFonts w:ascii="Verdana" w:hAnsi="Verdana" w:cs="Arial"/>
          <w:sz w:val="24"/>
          <w:szCs w:val="24"/>
        </w:rPr>
        <w:t>According to the 2011 Census</w:t>
      </w:r>
      <w:r w:rsidR="00057C5F">
        <w:rPr>
          <w:rFonts w:ascii="Verdana" w:hAnsi="Verdana" w:cs="Arial"/>
          <w:sz w:val="24"/>
          <w:szCs w:val="24"/>
        </w:rPr>
        <w:t>, the</w:t>
      </w:r>
      <w:r w:rsidR="0058511E" w:rsidRPr="00F37FDE">
        <w:rPr>
          <w:rFonts w:ascii="Verdana" w:hAnsi="Verdana" w:cs="Arial"/>
          <w:sz w:val="24"/>
          <w:szCs w:val="24"/>
        </w:rPr>
        <w:t xml:space="preserve"> </w:t>
      </w:r>
      <w:r w:rsidR="00F64A4F">
        <w:rPr>
          <w:rFonts w:ascii="Verdana" w:hAnsi="Verdana" w:cs="Arial"/>
          <w:sz w:val="24"/>
          <w:szCs w:val="24"/>
        </w:rPr>
        <w:t>Blackfordby</w:t>
      </w:r>
      <w:r w:rsidR="00E36FF9">
        <w:rPr>
          <w:rFonts w:ascii="Verdana" w:hAnsi="Verdana" w:cs="Arial"/>
          <w:sz w:val="24"/>
          <w:szCs w:val="24"/>
        </w:rPr>
        <w:t xml:space="preserve"> </w:t>
      </w:r>
      <w:r w:rsidR="003859F1">
        <w:rPr>
          <w:rFonts w:ascii="Verdana" w:hAnsi="Verdana" w:cs="Arial"/>
          <w:sz w:val="24"/>
          <w:szCs w:val="24"/>
        </w:rPr>
        <w:t>l</w:t>
      </w:r>
      <w:r w:rsidR="00F64A4F">
        <w:rPr>
          <w:rFonts w:ascii="Verdana" w:hAnsi="Verdana" w:cs="Arial"/>
          <w:sz w:val="24"/>
          <w:szCs w:val="24"/>
        </w:rPr>
        <w:t>ocal area</w:t>
      </w:r>
      <w:r w:rsidR="0058511E" w:rsidRPr="00F37FDE">
        <w:rPr>
          <w:rFonts w:ascii="Verdana" w:hAnsi="Verdana" w:cs="Arial"/>
          <w:sz w:val="24"/>
          <w:szCs w:val="24"/>
        </w:rPr>
        <w:t xml:space="preserve"> ha</w:t>
      </w:r>
      <w:r w:rsidR="00ED7A0C" w:rsidRPr="00F37FDE">
        <w:rPr>
          <w:rFonts w:ascii="Verdana" w:hAnsi="Verdana" w:cs="Arial"/>
          <w:sz w:val="24"/>
          <w:szCs w:val="24"/>
        </w:rPr>
        <w:t>d</w:t>
      </w:r>
      <w:r w:rsidR="0058511E" w:rsidRPr="00F37FDE">
        <w:rPr>
          <w:rFonts w:ascii="Verdana" w:hAnsi="Verdana" w:cs="Arial"/>
          <w:sz w:val="24"/>
          <w:szCs w:val="24"/>
        </w:rPr>
        <w:t xml:space="preserve"> an estimated population of</w:t>
      </w:r>
      <w:r w:rsidR="00471618">
        <w:rPr>
          <w:rFonts w:ascii="Verdana" w:hAnsi="Verdana" w:cs="Arial"/>
          <w:sz w:val="24"/>
          <w:szCs w:val="24"/>
        </w:rPr>
        <w:t xml:space="preserve"> </w:t>
      </w:r>
      <w:r w:rsidR="00957C27">
        <w:rPr>
          <w:rFonts w:ascii="Verdana" w:hAnsi="Verdana" w:cs="Arial"/>
          <w:sz w:val="24"/>
          <w:szCs w:val="24"/>
        </w:rPr>
        <w:t>1,</w:t>
      </w:r>
      <w:r w:rsidR="00F64A4F">
        <w:rPr>
          <w:rFonts w:ascii="Verdana" w:hAnsi="Verdana" w:cs="Arial"/>
          <w:sz w:val="24"/>
          <w:szCs w:val="24"/>
        </w:rPr>
        <w:t>450</w:t>
      </w:r>
      <w:r w:rsidR="00957C27">
        <w:rPr>
          <w:rFonts w:ascii="Verdana" w:hAnsi="Verdana" w:cs="Arial"/>
          <w:sz w:val="24"/>
          <w:szCs w:val="24"/>
        </w:rPr>
        <w:t xml:space="preserve"> </w:t>
      </w:r>
      <w:r w:rsidR="0058511E" w:rsidRPr="00F37FDE">
        <w:rPr>
          <w:rFonts w:ascii="Verdana" w:hAnsi="Verdana" w:cs="Arial"/>
          <w:sz w:val="24"/>
          <w:szCs w:val="24"/>
        </w:rPr>
        <w:t>residents living in</w:t>
      </w:r>
      <w:r w:rsidR="00F64A4F">
        <w:rPr>
          <w:rFonts w:ascii="Verdana" w:hAnsi="Verdana" w:cs="Arial"/>
          <w:sz w:val="24"/>
          <w:szCs w:val="24"/>
        </w:rPr>
        <w:t xml:space="preserve"> 650</w:t>
      </w:r>
      <w:r w:rsidR="007A7E08">
        <w:rPr>
          <w:rFonts w:ascii="Verdana" w:hAnsi="Verdana" w:cs="Arial"/>
          <w:sz w:val="24"/>
          <w:szCs w:val="24"/>
        </w:rPr>
        <w:t xml:space="preserve"> </w:t>
      </w:r>
      <w:r w:rsidR="0058511E" w:rsidRPr="00F37FDE">
        <w:rPr>
          <w:rFonts w:ascii="Verdana" w:hAnsi="Verdana" w:cs="Arial"/>
          <w:sz w:val="24"/>
          <w:szCs w:val="24"/>
        </w:rPr>
        <w:t xml:space="preserve">households dispersed across </w:t>
      </w:r>
      <w:r w:rsidR="00F64A4F">
        <w:rPr>
          <w:rFonts w:ascii="Verdana" w:hAnsi="Verdana" w:cs="Arial"/>
          <w:sz w:val="24"/>
          <w:szCs w:val="24"/>
        </w:rPr>
        <w:t>315</w:t>
      </w:r>
      <w:r w:rsidR="00E34091">
        <w:rPr>
          <w:rFonts w:ascii="Verdana" w:hAnsi="Verdana" w:cs="Arial"/>
          <w:sz w:val="24"/>
          <w:szCs w:val="24"/>
        </w:rPr>
        <w:t xml:space="preserve"> </w:t>
      </w:r>
      <w:r w:rsidR="00F064E4" w:rsidRPr="00F37FDE">
        <w:rPr>
          <w:rFonts w:ascii="Verdana" w:hAnsi="Verdana" w:cs="Arial"/>
          <w:sz w:val="24"/>
          <w:szCs w:val="24"/>
        </w:rPr>
        <w:t>hectares</w:t>
      </w:r>
      <w:r w:rsidR="00957C27">
        <w:rPr>
          <w:rFonts w:ascii="Verdana" w:hAnsi="Verdana" w:cs="Arial"/>
          <w:sz w:val="24"/>
          <w:szCs w:val="24"/>
        </w:rPr>
        <w:t xml:space="preserve">, equating to a population density of </w:t>
      </w:r>
      <w:r w:rsidR="00F64A4F">
        <w:rPr>
          <w:rFonts w:ascii="Verdana" w:hAnsi="Verdana" w:cs="Arial"/>
          <w:sz w:val="24"/>
          <w:szCs w:val="24"/>
        </w:rPr>
        <w:t>4.6</w:t>
      </w:r>
      <w:r w:rsidR="00957C27">
        <w:rPr>
          <w:rFonts w:ascii="Verdana" w:hAnsi="Verdana" w:cs="Arial"/>
          <w:sz w:val="24"/>
          <w:szCs w:val="24"/>
        </w:rPr>
        <w:t xml:space="preserve"> persons per hectare. This compares with </w:t>
      </w:r>
      <w:r w:rsidR="00F64A4F">
        <w:rPr>
          <w:rFonts w:ascii="Verdana" w:hAnsi="Verdana" w:cs="Arial"/>
          <w:sz w:val="24"/>
          <w:szCs w:val="24"/>
        </w:rPr>
        <w:t>3.3</w:t>
      </w:r>
      <w:r w:rsidR="00332865">
        <w:rPr>
          <w:rFonts w:ascii="Verdana" w:hAnsi="Verdana" w:cs="Arial"/>
          <w:sz w:val="24"/>
          <w:szCs w:val="24"/>
        </w:rPr>
        <w:t xml:space="preserve"> for </w:t>
      </w:r>
      <w:r w:rsidR="00F64A4F">
        <w:rPr>
          <w:rFonts w:ascii="Verdana" w:hAnsi="Verdana" w:cs="Arial"/>
          <w:sz w:val="24"/>
          <w:szCs w:val="24"/>
        </w:rPr>
        <w:t>NW Leics</w:t>
      </w:r>
      <w:r w:rsidR="00332865">
        <w:rPr>
          <w:rFonts w:ascii="Verdana" w:hAnsi="Verdana" w:cs="Arial"/>
          <w:sz w:val="24"/>
          <w:szCs w:val="24"/>
        </w:rPr>
        <w:t>, 2.9 for East Midlands and 4.1 for England as a whole.</w:t>
      </w:r>
      <w:r w:rsidR="00F064E4" w:rsidRPr="00F37FDE">
        <w:rPr>
          <w:rFonts w:ascii="Verdana" w:hAnsi="Verdana" w:cs="Arial"/>
          <w:sz w:val="24"/>
          <w:szCs w:val="24"/>
        </w:rPr>
        <w:t xml:space="preserve"> </w:t>
      </w:r>
      <w:r w:rsidR="007E18BA">
        <w:rPr>
          <w:rFonts w:ascii="Verdana" w:hAnsi="Verdana" w:cs="Arial"/>
          <w:sz w:val="24"/>
          <w:szCs w:val="24"/>
        </w:rPr>
        <w:t xml:space="preserve">There </w:t>
      </w:r>
      <w:r w:rsidR="00165521">
        <w:rPr>
          <w:rFonts w:ascii="Verdana" w:hAnsi="Verdana" w:cs="Arial"/>
          <w:sz w:val="24"/>
          <w:szCs w:val="24"/>
        </w:rPr>
        <w:t>were</w:t>
      </w:r>
      <w:r w:rsidR="00E34091">
        <w:rPr>
          <w:rFonts w:ascii="Verdana" w:hAnsi="Verdana" w:cs="Arial"/>
          <w:sz w:val="24"/>
          <w:szCs w:val="24"/>
        </w:rPr>
        <w:t xml:space="preserve"> </w:t>
      </w:r>
      <w:r w:rsidR="00F64A4F">
        <w:rPr>
          <w:rFonts w:ascii="Verdana" w:hAnsi="Verdana" w:cs="Arial"/>
          <w:sz w:val="24"/>
          <w:szCs w:val="24"/>
        </w:rPr>
        <w:t>23</w:t>
      </w:r>
      <w:r w:rsidR="00A613FC">
        <w:rPr>
          <w:rFonts w:ascii="Verdana" w:hAnsi="Verdana" w:cs="Arial"/>
          <w:sz w:val="24"/>
          <w:szCs w:val="24"/>
        </w:rPr>
        <w:t xml:space="preserve"> </w:t>
      </w:r>
      <w:r w:rsidR="00165521">
        <w:rPr>
          <w:rFonts w:ascii="Verdana" w:hAnsi="Verdana" w:cs="Arial"/>
          <w:sz w:val="24"/>
          <w:szCs w:val="24"/>
        </w:rPr>
        <w:t>vacant dwellings</w:t>
      </w:r>
      <w:r w:rsidR="007E18BA">
        <w:rPr>
          <w:rFonts w:ascii="Verdana" w:hAnsi="Verdana" w:cs="Arial"/>
          <w:sz w:val="24"/>
          <w:szCs w:val="24"/>
        </w:rPr>
        <w:t xml:space="preserve"> </w:t>
      </w:r>
      <w:r w:rsidR="00471618">
        <w:rPr>
          <w:rFonts w:ascii="Verdana" w:hAnsi="Verdana" w:cs="Arial"/>
          <w:sz w:val="24"/>
          <w:szCs w:val="24"/>
        </w:rPr>
        <w:t xml:space="preserve">representing a </w:t>
      </w:r>
      <w:r w:rsidR="00F64A4F">
        <w:rPr>
          <w:rFonts w:ascii="Verdana" w:hAnsi="Verdana" w:cs="Arial"/>
          <w:sz w:val="24"/>
          <w:szCs w:val="24"/>
        </w:rPr>
        <w:t>3.4</w:t>
      </w:r>
      <w:r w:rsidR="007E18BA">
        <w:rPr>
          <w:rFonts w:ascii="Verdana" w:hAnsi="Verdana" w:cs="Arial"/>
          <w:sz w:val="24"/>
          <w:szCs w:val="24"/>
        </w:rPr>
        <w:t>% vacancy rate.</w:t>
      </w:r>
      <w:r w:rsidR="003859F1">
        <w:rPr>
          <w:rFonts w:ascii="Verdana" w:hAnsi="Verdana" w:cs="Arial"/>
          <w:sz w:val="24"/>
          <w:szCs w:val="24"/>
        </w:rPr>
        <w:t xml:space="preserve"> </w:t>
      </w:r>
      <w:r w:rsidR="005F6DAE">
        <w:rPr>
          <w:rFonts w:ascii="Verdana" w:hAnsi="Verdana" w:cs="Arial"/>
          <w:sz w:val="24"/>
          <w:szCs w:val="24"/>
        </w:rPr>
        <w:t xml:space="preserve">There were </w:t>
      </w:r>
      <w:r w:rsidR="00F64A4F">
        <w:rPr>
          <w:rFonts w:ascii="Verdana" w:hAnsi="Verdana" w:cs="Arial"/>
          <w:sz w:val="24"/>
          <w:szCs w:val="24"/>
        </w:rPr>
        <w:t>no</w:t>
      </w:r>
      <w:r w:rsidR="005F6DAE">
        <w:rPr>
          <w:rFonts w:ascii="Verdana" w:hAnsi="Verdana" w:cs="Arial"/>
          <w:sz w:val="24"/>
          <w:szCs w:val="24"/>
        </w:rPr>
        <w:t xml:space="preserve"> communal establishments </w:t>
      </w:r>
      <w:r w:rsidR="00F64A4F">
        <w:rPr>
          <w:rFonts w:ascii="Verdana" w:hAnsi="Verdana" w:cs="Arial"/>
          <w:sz w:val="24"/>
          <w:szCs w:val="24"/>
        </w:rPr>
        <w:t>situated in the local area boundary</w:t>
      </w:r>
      <w:r w:rsidR="005F6DAE">
        <w:rPr>
          <w:rFonts w:ascii="Verdana" w:hAnsi="Verdana" w:cs="Arial"/>
          <w:sz w:val="24"/>
          <w:szCs w:val="24"/>
        </w:rPr>
        <w:t xml:space="preserve">. </w:t>
      </w:r>
      <w:r w:rsidR="00F064E4" w:rsidRPr="00F37FDE">
        <w:rPr>
          <w:rFonts w:ascii="Verdana" w:hAnsi="Verdana" w:cs="Arial"/>
          <w:sz w:val="24"/>
          <w:szCs w:val="24"/>
        </w:rPr>
        <w:t>Since 2001 the number of residents</w:t>
      </w:r>
      <w:r w:rsidR="00E34091">
        <w:rPr>
          <w:rFonts w:ascii="Verdana" w:hAnsi="Verdana" w:cs="Arial"/>
          <w:sz w:val="24"/>
          <w:szCs w:val="24"/>
        </w:rPr>
        <w:t xml:space="preserve"> living in the </w:t>
      </w:r>
      <w:r w:rsidR="00F64A4F">
        <w:rPr>
          <w:rFonts w:ascii="Verdana" w:hAnsi="Verdana" w:cs="Arial"/>
          <w:sz w:val="24"/>
          <w:szCs w:val="24"/>
        </w:rPr>
        <w:t>local area</w:t>
      </w:r>
      <w:r w:rsidR="004D42EC">
        <w:rPr>
          <w:rFonts w:ascii="Verdana" w:hAnsi="Verdana" w:cs="Arial"/>
          <w:sz w:val="24"/>
          <w:szCs w:val="24"/>
        </w:rPr>
        <w:t xml:space="preserve"> is estimated to ha</w:t>
      </w:r>
      <w:r w:rsidR="00E80141">
        <w:rPr>
          <w:rFonts w:ascii="Verdana" w:hAnsi="Verdana" w:cs="Arial"/>
          <w:sz w:val="24"/>
          <w:szCs w:val="24"/>
        </w:rPr>
        <w:t xml:space="preserve">ve </w:t>
      </w:r>
      <w:r w:rsidR="00F64A4F">
        <w:rPr>
          <w:rFonts w:ascii="Verdana" w:hAnsi="Verdana" w:cs="Arial"/>
          <w:sz w:val="24"/>
          <w:szCs w:val="24"/>
        </w:rPr>
        <w:t>fallen</w:t>
      </w:r>
      <w:r w:rsidR="000B398C">
        <w:rPr>
          <w:rFonts w:ascii="Verdana" w:hAnsi="Verdana" w:cs="Arial"/>
          <w:sz w:val="24"/>
          <w:szCs w:val="24"/>
        </w:rPr>
        <w:t xml:space="preserve"> by around </w:t>
      </w:r>
      <w:r w:rsidR="00A75849">
        <w:rPr>
          <w:rFonts w:ascii="Verdana" w:hAnsi="Verdana" w:cs="Arial"/>
          <w:sz w:val="24"/>
          <w:szCs w:val="24"/>
        </w:rPr>
        <w:t>4</w:t>
      </w:r>
      <w:r w:rsidR="004D42EC">
        <w:rPr>
          <w:rFonts w:ascii="Verdana" w:hAnsi="Verdana" w:cs="Arial"/>
          <w:sz w:val="24"/>
          <w:szCs w:val="24"/>
        </w:rPr>
        <w:t xml:space="preserve">% </w:t>
      </w:r>
      <w:r w:rsidR="0025505A" w:rsidRPr="00F37FDE">
        <w:rPr>
          <w:rFonts w:ascii="Verdana" w:hAnsi="Verdana" w:cs="Arial"/>
          <w:sz w:val="24"/>
          <w:szCs w:val="24"/>
        </w:rPr>
        <w:t>(</w:t>
      </w:r>
      <w:r w:rsidR="00F64A4F">
        <w:rPr>
          <w:rFonts w:ascii="Verdana" w:hAnsi="Verdana" w:cs="Arial"/>
          <w:sz w:val="24"/>
          <w:szCs w:val="24"/>
        </w:rPr>
        <w:t>57</w:t>
      </w:r>
      <w:r w:rsidR="00332865">
        <w:rPr>
          <w:rFonts w:ascii="Verdana" w:hAnsi="Verdana" w:cs="Arial"/>
          <w:sz w:val="24"/>
          <w:szCs w:val="24"/>
        </w:rPr>
        <w:t xml:space="preserve"> </w:t>
      </w:r>
      <w:r w:rsidR="004D42EC">
        <w:rPr>
          <w:rFonts w:ascii="Verdana" w:hAnsi="Verdana" w:cs="Arial"/>
          <w:sz w:val="24"/>
          <w:szCs w:val="24"/>
        </w:rPr>
        <w:t>people)</w:t>
      </w:r>
      <w:r w:rsidR="00F00A5C">
        <w:rPr>
          <w:rFonts w:ascii="Verdana" w:hAnsi="Verdana" w:cs="Arial"/>
          <w:sz w:val="24"/>
          <w:szCs w:val="24"/>
        </w:rPr>
        <w:t xml:space="preserve"> whereas t</w:t>
      </w:r>
      <w:r w:rsidR="00676CE1">
        <w:rPr>
          <w:rFonts w:ascii="Verdana" w:hAnsi="Verdana" w:cs="Arial"/>
          <w:sz w:val="24"/>
          <w:szCs w:val="24"/>
        </w:rPr>
        <w:t>he</w:t>
      </w:r>
      <w:r w:rsidR="00E34091">
        <w:rPr>
          <w:rFonts w:ascii="Verdana" w:hAnsi="Verdana" w:cs="Arial"/>
          <w:sz w:val="24"/>
          <w:szCs w:val="24"/>
        </w:rPr>
        <w:t xml:space="preserve"> number of </w:t>
      </w:r>
      <w:r w:rsidR="00283840">
        <w:rPr>
          <w:rFonts w:ascii="Verdana" w:hAnsi="Verdana" w:cs="Arial"/>
          <w:sz w:val="24"/>
          <w:szCs w:val="24"/>
        </w:rPr>
        <w:t>dwellings</w:t>
      </w:r>
      <w:r w:rsidR="00165521">
        <w:rPr>
          <w:rFonts w:ascii="Verdana" w:hAnsi="Verdana" w:cs="Arial"/>
          <w:sz w:val="24"/>
          <w:szCs w:val="24"/>
        </w:rPr>
        <w:t xml:space="preserve"> (occupied and vacant)</w:t>
      </w:r>
      <w:r w:rsidR="00283840">
        <w:rPr>
          <w:rFonts w:ascii="Verdana" w:hAnsi="Verdana" w:cs="Arial"/>
          <w:sz w:val="24"/>
          <w:szCs w:val="24"/>
        </w:rPr>
        <w:t xml:space="preserve"> </w:t>
      </w:r>
      <w:r w:rsidR="00F00A5C">
        <w:rPr>
          <w:rFonts w:ascii="Verdana" w:hAnsi="Verdana" w:cs="Arial"/>
          <w:sz w:val="24"/>
          <w:szCs w:val="24"/>
        </w:rPr>
        <w:t>increased</w:t>
      </w:r>
      <w:r w:rsidR="00676CE1">
        <w:rPr>
          <w:rFonts w:ascii="Verdana" w:hAnsi="Verdana" w:cs="Arial"/>
          <w:sz w:val="24"/>
          <w:szCs w:val="24"/>
        </w:rPr>
        <w:t>, rising</w:t>
      </w:r>
      <w:r w:rsidR="00165521">
        <w:rPr>
          <w:rFonts w:ascii="Verdana" w:hAnsi="Verdana" w:cs="Arial"/>
          <w:sz w:val="24"/>
          <w:szCs w:val="24"/>
        </w:rPr>
        <w:t xml:space="preserve"> by </w:t>
      </w:r>
      <w:r w:rsidR="00F00A5C">
        <w:rPr>
          <w:rFonts w:ascii="Verdana" w:hAnsi="Verdana" w:cs="Arial"/>
          <w:sz w:val="24"/>
          <w:szCs w:val="24"/>
        </w:rPr>
        <w:t>7</w:t>
      </w:r>
      <w:r w:rsidR="00A75849">
        <w:rPr>
          <w:rFonts w:ascii="Verdana" w:hAnsi="Verdana" w:cs="Arial"/>
          <w:sz w:val="24"/>
          <w:szCs w:val="24"/>
        </w:rPr>
        <w:t xml:space="preserve"> </w:t>
      </w:r>
      <w:r w:rsidR="00165521">
        <w:rPr>
          <w:rFonts w:ascii="Verdana" w:hAnsi="Verdana" w:cs="Arial"/>
          <w:sz w:val="24"/>
          <w:szCs w:val="24"/>
        </w:rPr>
        <w:t>(</w:t>
      </w:r>
      <w:r w:rsidR="00F00A5C">
        <w:rPr>
          <w:rFonts w:ascii="Verdana" w:hAnsi="Verdana" w:cs="Arial"/>
          <w:sz w:val="24"/>
          <w:szCs w:val="24"/>
        </w:rPr>
        <w:t>1.1</w:t>
      </w:r>
      <w:r w:rsidR="00165521">
        <w:rPr>
          <w:rFonts w:ascii="Verdana" w:hAnsi="Verdana" w:cs="Arial"/>
          <w:sz w:val="24"/>
          <w:szCs w:val="24"/>
        </w:rPr>
        <w:t>%).</w:t>
      </w:r>
      <w:r w:rsidR="00057C5F">
        <w:rPr>
          <w:rFonts w:ascii="Verdana" w:hAnsi="Verdana" w:cs="Arial"/>
          <w:sz w:val="24"/>
          <w:szCs w:val="24"/>
        </w:rPr>
        <w:t xml:space="preserve"> </w:t>
      </w:r>
    </w:p>
    <w:p w14:paraId="182E7459" w14:textId="77777777" w:rsidR="00F00A5C" w:rsidRDefault="00A64721" w:rsidP="008B5A87">
      <w:pPr>
        <w:pStyle w:val="NoSpacing"/>
        <w:spacing w:before="120"/>
        <w:jc w:val="both"/>
        <w:rPr>
          <w:rFonts w:ascii="Verdana" w:hAnsi="Verdana" w:cs="Arial"/>
          <w:sz w:val="24"/>
          <w:szCs w:val="24"/>
        </w:rPr>
      </w:pPr>
      <w:r w:rsidRPr="00BC2FAB">
        <w:rPr>
          <w:rFonts w:ascii="Verdana" w:hAnsi="Verdana" w:cs="Arial"/>
          <w:sz w:val="24"/>
          <w:szCs w:val="24"/>
        </w:rPr>
        <w:t>A</w:t>
      </w:r>
      <w:r w:rsidR="00790B1F">
        <w:rPr>
          <w:rFonts w:ascii="Verdana" w:hAnsi="Verdana" w:cs="Arial"/>
          <w:sz w:val="24"/>
          <w:szCs w:val="24"/>
        </w:rPr>
        <w:t>t the time of the 2011 Census a</w:t>
      </w:r>
      <w:r w:rsidRPr="00BC2FAB">
        <w:rPr>
          <w:rFonts w:ascii="Verdana" w:hAnsi="Verdana" w:cs="Arial"/>
          <w:sz w:val="24"/>
          <w:szCs w:val="24"/>
        </w:rPr>
        <w:t xml:space="preserve">round </w:t>
      </w:r>
      <w:r w:rsidR="00F00A5C">
        <w:rPr>
          <w:rFonts w:ascii="Verdana" w:hAnsi="Verdana" w:cs="Arial"/>
          <w:sz w:val="24"/>
          <w:szCs w:val="24"/>
        </w:rPr>
        <w:t>14</w:t>
      </w:r>
      <w:r w:rsidRPr="00BC2FAB">
        <w:rPr>
          <w:rFonts w:ascii="Verdana" w:hAnsi="Verdana" w:cs="Arial"/>
          <w:sz w:val="24"/>
          <w:szCs w:val="24"/>
        </w:rPr>
        <w:t xml:space="preserve">% of residents </w:t>
      </w:r>
      <w:r w:rsidR="00790B1F">
        <w:rPr>
          <w:rFonts w:ascii="Verdana" w:hAnsi="Verdana" w:cs="Arial"/>
          <w:sz w:val="24"/>
          <w:szCs w:val="24"/>
        </w:rPr>
        <w:t xml:space="preserve">were </w:t>
      </w:r>
      <w:r w:rsidRPr="00BC2FAB">
        <w:rPr>
          <w:rFonts w:ascii="Verdana" w:hAnsi="Verdana" w:cs="Arial"/>
          <w:sz w:val="24"/>
          <w:szCs w:val="24"/>
        </w:rPr>
        <w:t xml:space="preserve">aged under 16 which </w:t>
      </w:r>
      <w:r w:rsidR="004729FA">
        <w:rPr>
          <w:rFonts w:ascii="Verdana" w:hAnsi="Verdana" w:cs="Arial"/>
          <w:sz w:val="24"/>
          <w:szCs w:val="24"/>
        </w:rPr>
        <w:t>was</w:t>
      </w:r>
      <w:r w:rsidRPr="00BC2FAB">
        <w:rPr>
          <w:rFonts w:ascii="Verdana" w:hAnsi="Verdana" w:cs="Arial"/>
          <w:sz w:val="24"/>
          <w:szCs w:val="24"/>
        </w:rPr>
        <w:t xml:space="preserve"> </w:t>
      </w:r>
      <w:r w:rsidR="004729FA">
        <w:rPr>
          <w:rFonts w:ascii="Verdana" w:hAnsi="Verdana" w:cs="Arial"/>
          <w:sz w:val="24"/>
          <w:szCs w:val="24"/>
        </w:rPr>
        <w:t>below the borough (</w:t>
      </w:r>
      <w:r w:rsidR="00F00A5C">
        <w:rPr>
          <w:rFonts w:ascii="Verdana" w:hAnsi="Verdana" w:cs="Arial"/>
          <w:sz w:val="24"/>
          <w:szCs w:val="24"/>
        </w:rPr>
        <w:t>19</w:t>
      </w:r>
      <w:r w:rsidR="004729FA">
        <w:rPr>
          <w:rFonts w:ascii="Verdana" w:hAnsi="Verdana" w:cs="Arial"/>
          <w:sz w:val="24"/>
          <w:szCs w:val="24"/>
        </w:rPr>
        <w:t>%)</w:t>
      </w:r>
      <w:r w:rsidR="00F00A5C">
        <w:rPr>
          <w:rFonts w:ascii="Verdana" w:hAnsi="Verdana" w:cs="Arial"/>
          <w:sz w:val="24"/>
          <w:szCs w:val="24"/>
        </w:rPr>
        <w:t>,</w:t>
      </w:r>
      <w:r w:rsidR="00CF7474">
        <w:rPr>
          <w:rFonts w:ascii="Verdana" w:hAnsi="Verdana" w:cs="Arial"/>
          <w:sz w:val="24"/>
          <w:szCs w:val="24"/>
        </w:rPr>
        <w:t xml:space="preserve"> </w:t>
      </w:r>
      <w:r w:rsidR="00BB6BA7">
        <w:rPr>
          <w:rFonts w:ascii="Verdana" w:hAnsi="Verdana" w:cs="Arial"/>
          <w:sz w:val="24"/>
          <w:szCs w:val="24"/>
        </w:rPr>
        <w:t>regional</w:t>
      </w:r>
      <w:r w:rsidRPr="00BC2FAB">
        <w:rPr>
          <w:rFonts w:ascii="Verdana" w:hAnsi="Verdana" w:cs="Arial"/>
          <w:sz w:val="24"/>
          <w:szCs w:val="24"/>
        </w:rPr>
        <w:t xml:space="preserve"> </w:t>
      </w:r>
      <w:r w:rsidR="00396B3B">
        <w:rPr>
          <w:rFonts w:ascii="Verdana" w:hAnsi="Verdana" w:cs="Arial"/>
          <w:sz w:val="24"/>
          <w:szCs w:val="24"/>
        </w:rPr>
        <w:t xml:space="preserve">(18%) </w:t>
      </w:r>
      <w:r w:rsidRPr="00BC2FAB">
        <w:rPr>
          <w:rFonts w:ascii="Verdana" w:hAnsi="Verdana" w:cs="Arial"/>
          <w:sz w:val="24"/>
          <w:szCs w:val="24"/>
        </w:rPr>
        <w:t>and national</w:t>
      </w:r>
      <w:r w:rsidR="00BB6BA7">
        <w:rPr>
          <w:rFonts w:ascii="Verdana" w:hAnsi="Verdana" w:cs="Arial"/>
          <w:sz w:val="24"/>
          <w:szCs w:val="24"/>
        </w:rPr>
        <w:t xml:space="preserve"> (19%)</w:t>
      </w:r>
      <w:r w:rsidRPr="00BC2FAB">
        <w:rPr>
          <w:rFonts w:ascii="Verdana" w:hAnsi="Verdana" w:cs="Arial"/>
          <w:sz w:val="24"/>
          <w:szCs w:val="24"/>
        </w:rPr>
        <w:t xml:space="preserve"> </w:t>
      </w:r>
      <w:r w:rsidR="00790B1F">
        <w:rPr>
          <w:rFonts w:ascii="Verdana" w:hAnsi="Verdana" w:cs="Arial"/>
          <w:sz w:val="24"/>
          <w:szCs w:val="24"/>
        </w:rPr>
        <w:t>rates</w:t>
      </w:r>
      <w:r w:rsidRPr="00BC2FAB">
        <w:rPr>
          <w:rFonts w:ascii="Verdana" w:hAnsi="Verdana" w:cs="Arial"/>
          <w:sz w:val="24"/>
          <w:szCs w:val="24"/>
        </w:rPr>
        <w:t xml:space="preserve">. </w:t>
      </w:r>
      <w:r w:rsidR="00EE64ED" w:rsidRPr="00BC2FAB">
        <w:rPr>
          <w:rFonts w:ascii="Verdana" w:hAnsi="Verdana" w:cs="Arial"/>
          <w:sz w:val="24"/>
          <w:szCs w:val="24"/>
        </w:rPr>
        <w:t xml:space="preserve">Around </w:t>
      </w:r>
      <w:r w:rsidR="00F00A5C">
        <w:rPr>
          <w:rFonts w:ascii="Verdana" w:hAnsi="Verdana" w:cs="Arial"/>
          <w:sz w:val="24"/>
          <w:szCs w:val="24"/>
        </w:rPr>
        <w:t>58</w:t>
      </w:r>
      <w:r w:rsidR="00EE64ED" w:rsidRPr="00BC2FAB">
        <w:rPr>
          <w:rFonts w:ascii="Verdana" w:hAnsi="Verdana" w:cs="Arial"/>
          <w:sz w:val="24"/>
          <w:szCs w:val="24"/>
        </w:rPr>
        <w:t xml:space="preserve">% </w:t>
      </w:r>
      <w:r w:rsidR="00C1089C" w:rsidRPr="00BC2FAB">
        <w:rPr>
          <w:rFonts w:ascii="Verdana" w:hAnsi="Verdana" w:cs="Arial"/>
          <w:sz w:val="24"/>
          <w:szCs w:val="24"/>
        </w:rPr>
        <w:t xml:space="preserve">of residents </w:t>
      </w:r>
      <w:r w:rsidR="00790B1F">
        <w:rPr>
          <w:rFonts w:ascii="Verdana" w:hAnsi="Verdana" w:cs="Arial"/>
          <w:sz w:val="24"/>
          <w:szCs w:val="24"/>
        </w:rPr>
        <w:t>we</w:t>
      </w:r>
      <w:r w:rsidR="00C1089C" w:rsidRPr="00BC2FAB">
        <w:rPr>
          <w:rFonts w:ascii="Verdana" w:hAnsi="Verdana" w:cs="Arial"/>
          <w:sz w:val="24"/>
          <w:szCs w:val="24"/>
        </w:rPr>
        <w:t>re</w:t>
      </w:r>
      <w:r w:rsidR="002307B1">
        <w:rPr>
          <w:rFonts w:ascii="Verdana" w:hAnsi="Verdana" w:cs="Arial"/>
          <w:sz w:val="24"/>
          <w:szCs w:val="24"/>
        </w:rPr>
        <w:t xml:space="preserve"> aged between 16 and 64 which </w:t>
      </w:r>
      <w:r w:rsidR="00ED3A4B">
        <w:rPr>
          <w:rFonts w:ascii="Verdana" w:hAnsi="Verdana" w:cs="Arial"/>
          <w:sz w:val="24"/>
          <w:szCs w:val="24"/>
        </w:rPr>
        <w:t>was</w:t>
      </w:r>
      <w:r w:rsidR="004729FA">
        <w:rPr>
          <w:rFonts w:ascii="Verdana" w:hAnsi="Verdana" w:cs="Arial"/>
          <w:sz w:val="24"/>
          <w:szCs w:val="24"/>
        </w:rPr>
        <w:t xml:space="preserve"> </w:t>
      </w:r>
      <w:r w:rsidR="00F00A5C">
        <w:rPr>
          <w:rFonts w:ascii="Verdana" w:hAnsi="Verdana" w:cs="Arial"/>
          <w:sz w:val="24"/>
          <w:szCs w:val="24"/>
        </w:rPr>
        <w:t xml:space="preserve">lower than the England (65%), borough and regional (64%) rates </w:t>
      </w:r>
    </w:p>
    <w:p w14:paraId="49322EEE" w14:textId="77777777" w:rsidR="00874C26" w:rsidRPr="00F37FDE" w:rsidRDefault="00F00A5C" w:rsidP="008B5A87">
      <w:pPr>
        <w:pStyle w:val="NoSpacing"/>
        <w:spacing w:before="120"/>
        <w:jc w:val="both"/>
        <w:rPr>
          <w:rFonts w:ascii="Verdana" w:hAnsi="Verdana" w:cs="Arial"/>
          <w:sz w:val="24"/>
          <w:szCs w:val="24"/>
        </w:rPr>
      </w:pPr>
      <w:r>
        <w:rPr>
          <w:rFonts w:ascii="Verdana" w:hAnsi="Verdana" w:cs="Arial"/>
          <w:sz w:val="24"/>
          <w:szCs w:val="24"/>
        </w:rPr>
        <w:t>There is an over representation of o</w:t>
      </w:r>
      <w:r w:rsidR="00ED3A4B">
        <w:rPr>
          <w:rFonts w:ascii="Verdana" w:hAnsi="Verdana" w:cs="Arial"/>
          <w:sz w:val="24"/>
          <w:szCs w:val="24"/>
        </w:rPr>
        <w:t>lder</w:t>
      </w:r>
      <w:r w:rsidR="00D02210">
        <w:rPr>
          <w:rFonts w:ascii="Verdana" w:hAnsi="Verdana" w:cs="Arial"/>
          <w:sz w:val="24"/>
          <w:szCs w:val="24"/>
        </w:rPr>
        <w:t xml:space="preserve"> people (aged 65+) </w:t>
      </w:r>
      <w:r>
        <w:rPr>
          <w:rFonts w:ascii="Verdana" w:hAnsi="Verdana" w:cs="Arial"/>
          <w:sz w:val="24"/>
          <w:szCs w:val="24"/>
        </w:rPr>
        <w:t>accounting for 28%</w:t>
      </w:r>
      <w:r w:rsidR="00ED3A4B">
        <w:rPr>
          <w:rFonts w:ascii="Verdana" w:hAnsi="Verdana" w:cs="Arial"/>
          <w:sz w:val="24"/>
          <w:szCs w:val="24"/>
        </w:rPr>
        <w:t xml:space="preserve"> </w:t>
      </w:r>
      <w:r w:rsidR="008F445D" w:rsidRPr="00BC2FAB">
        <w:rPr>
          <w:rFonts w:ascii="Verdana" w:hAnsi="Verdana" w:cs="Arial"/>
          <w:sz w:val="24"/>
          <w:szCs w:val="24"/>
        </w:rPr>
        <w:t>of total</w:t>
      </w:r>
      <w:r w:rsidR="00826D62" w:rsidRPr="00BC2FAB">
        <w:rPr>
          <w:rFonts w:ascii="Verdana" w:hAnsi="Verdana" w:cs="Arial"/>
          <w:sz w:val="24"/>
          <w:szCs w:val="24"/>
        </w:rPr>
        <w:t xml:space="preserve"> residents which </w:t>
      </w:r>
      <w:r w:rsidR="00ED3A4B">
        <w:rPr>
          <w:rFonts w:ascii="Verdana" w:hAnsi="Verdana" w:cs="Arial"/>
          <w:sz w:val="24"/>
          <w:szCs w:val="24"/>
        </w:rPr>
        <w:t>was</w:t>
      </w:r>
      <w:r>
        <w:rPr>
          <w:rFonts w:ascii="Verdana" w:hAnsi="Verdana" w:cs="Arial"/>
          <w:sz w:val="24"/>
          <w:szCs w:val="24"/>
        </w:rPr>
        <w:t xml:space="preserve"> significantly </w:t>
      </w:r>
      <w:r w:rsidR="00F90D70">
        <w:rPr>
          <w:rFonts w:ascii="Verdana" w:hAnsi="Verdana" w:cs="Arial"/>
          <w:sz w:val="24"/>
          <w:szCs w:val="24"/>
        </w:rPr>
        <w:t>higher than</w:t>
      </w:r>
      <w:r w:rsidR="00B05248">
        <w:rPr>
          <w:rFonts w:ascii="Verdana" w:hAnsi="Verdana" w:cs="Arial"/>
          <w:sz w:val="24"/>
          <w:szCs w:val="24"/>
        </w:rPr>
        <w:t xml:space="preserve"> the </w:t>
      </w:r>
      <w:r w:rsidR="00887B8D">
        <w:rPr>
          <w:rFonts w:ascii="Verdana" w:hAnsi="Verdana" w:cs="Arial"/>
          <w:sz w:val="24"/>
          <w:szCs w:val="24"/>
        </w:rPr>
        <w:t>borough</w:t>
      </w:r>
      <w:r>
        <w:rPr>
          <w:rFonts w:ascii="Verdana" w:hAnsi="Verdana" w:cs="Arial"/>
          <w:sz w:val="24"/>
          <w:szCs w:val="24"/>
        </w:rPr>
        <w:t xml:space="preserve">, </w:t>
      </w:r>
      <w:r w:rsidR="00ED3A4B">
        <w:rPr>
          <w:rFonts w:ascii="Verdana" w:hAnsi="Verdana" w:cs="Arial"/>
          <w:sz w:val="24"/>
          <w:szCs w:val="24"/>
        </w:rPr>
        <w:t>region</w:t>
      </w:r>
      <w:r w:rsidR="0045177B" w:rsidRPr="00BC2FAB">
        <w:rPr>
          <w:rFonts w:ascii="Verdana" w:hAnsi="Verdana" w:cs="Arial"/>
          <w:sz w:val="24"/>
          <w:szCs w:val="24"/>
        </w:rPr>
        <w:t>al (17%)</w:t>
      </w:r>
      <w:r w:rsidR="00F414D5" w:rsidRPr="00BC2FAB">
        <w:rPr>
          <w:rFonts w:ascii="Verdana" w:hAnsi="Verdana" w:cs="Arial"/>
          <w:sz w:val="24"/>
          <w:szCs w:val="24"/>
        </w:rPr>
        <w:t xml:space="preserve"> and</w:t>
      </w:r>
      <w:r w:rsidR="0045177B" w:rsidRPr="00BC2FAB">
        <w:rPr>
          <w:rFonts w:ascii="Verdana" w:hAnsi="Verdana" w:cs="Arial"/>
          <w:sz w:val="24"/>
          <w:szCs w:val="24"/>
        </w:rPr>
        <w:t xml:space="preserve"> </w:t>
      </w:r>
      <w:r w:rsidR="00E27488" w:rsidRPr="00BC2FAB">
        <w:rPr>
          <w:rFonts w:ascii="Verdana" w:hAnsi="Verdana" w:cs="Arial"/>
          <w:sz w:val="24"/>
          <w:szCs w:val="24"/>
        </w:rPr>
        <w:t>national (16</w:t>
      </w:r>
      <w:r w:rsidR="00826D62" w:rsidRPr="00BC2FAB">
        <w:rPr>
          <w:rFonts w:ascii="Verdana" w:hAnsi="Verdana" w:cs="Arial"/>
          <w:sz w:val="24"/>
          <w:szCs w:val="24"/>
        </w:rPr>
        <w:t xml:space="preserve">%) </w:t>
      </w:r>
      <w:r w:rsidR="0045177B" w:rsidRPr="00BC2FAB">
        <w:rPr>
          <w:rFonts w:ascii="Verdana" w:hAnsi="Verdana" w:cs="Arial"/>
          <w:sz w:val="24"/>
          <w:szCs w:val="24"/>
        </w:rPr>
        <w:t>rate</w:t>
      </w:r>
      <w:r w:rsidR="00F414D5" w:rsidRPr="00BC2FAB">
        <w:rPr>
          <w:rFonts w:ascii="Verdana" w:hAnsi="Verdana" w:cs="Arial"/>
          <w:sz w:val="24"/>
          <w:szCs w:val="24"/>
        </w:rPr>
        <w:t>s</w:t>
      </w:r>
      <w:r w:rsidR="00C82D08">
        <w:rPr>
          <w:rFonts w:ascii="Verdana" w:hAnsi="Verdana" w:cs="Arial"/>
          <w:sz w:val="24"/>
          <w:szCs w:val="24"/>
        </w:rPr>
        <w:t xml:space="preserve">. </w:t>
      </w:r>
      <w:r w:rsidR="00ED2554" w:rsidRPr="00BC2FAB">
        <w:rPr>
          <w:rFonts w:ascii="Verdana" w:hAnsi="Verdana" w:cs="Arial"/>
          <w:sz w:val="24"/>
          <w:szCs w:val="24"/>
        </w:rPr>
        <w:t xml:space="preserve">The median age of people living in the </w:t>
      </w:r>
      <w:r>
        <w:rPr>
          <w:rFonts w:ascii="Verdana" w:hAnsi="Verdana" w:cs="Arial"/>
          <w:sz w:val="24"/>
          <w:szCs w:val="24"/>
        </w:rPr>
        <w:t>l</w:t>
      </w:r>
      <w:r w:rsidR="00F64A4F">
        <w:rPr>
          <w:rFonts w:ascii="Verdana" w:hAnsi="Verdana" w:cs="Arial"/>
          <w:sz w:val="24"/>
          <w:szCs w:val="24"/>
        </w:rPr>
        <w:t>ocal area</w:t>
      </w:r>
      <w:r w:rsidR="00ED2554" w:rsidRPr="00BC2FAB">
        <w:rPr>
          <w:rFonts w:ascii="Verdana" w:hAnsi="Verdana" w:cs="Arial"/>
          <w:sz w:val="24"/>
          <w:szCs w:val="24"/>
        </w:rPr>
        <w:t xml:space="preserve"> </w:t>
      </w:r>
      <w:r w:rsidR="002307B1">
        <w:rPr>
          <w:rFonts w:ascii="Verdana" w:hAnsi="Verdana" w:cs="Arial"/>
          <w:sz w:val="24"/>
          <w:szCs w:val="24"/>
        </w:rPr>
        <w:t>was</w:t>
      </w:r>
      <w:r w:rsidR="00ED2554" w:rsidRPr="00BC2FAB">
        <w:rPr>
          <w:rFonts w:ascii="Verdana" w:hAnsi="Verdana" w:cs="Arial"/>
          <w:sz w:val="24"/>
          <w:szCs w:val="24"/>
        </w:rPr>
        <w:t xml:space="preserve"> </w:t>
      </w:r>
      <w:r>
        <w:rPr>
          <w:rFonts w:ascii="Verdana" w:hAnsi="Verdana" w:cs="Arial"/>
          <w:sz w:val="24"/>
          <w:szCs w:val="24"/>
        </w:rPr>
        <w:t>54</w:t>
      </w:r>
      <w:r w:rsidR="008F445D" w:rsidRPr="00BC2FAB">
        <w:rPr>
          <w:rFonts w:ascii="Verdana" w:hAnsi="Verdana" w:cs="Arial"/>
          <w:sz w:val="24"/>
          <w:szCs w:val="24"/>
        </w:rPr>
        <w:t xml:space="preserve"> </w:t>
      </w:r>
      <w:r w:rsidR="00384C99" w:rsidRPr="00BC2FAB">
        <w:rPr>
          <w:rFonts w:ascii="Verdana" w:hAnsi="Verdana" w:cs="Arial"/>
          <w:sz w:val="24"/>
          <w:szCs w:val="24"/>
        </w:rPr>
        <w:t>which is</w:t>
      </w:r>
      <w:r w:rsidR="00C1089C" w:rsidRPr="00BC2FAB">
        <w:rPr>
          <w:rFonts w:ascii="Verdana" w:hAnsi="Verdana" w:cs="Arial"/>
          <w:sz w:val="24"/>
          <w:szCs w:val="24"/>
        </w:rPr>
        <w:t xml:space="preserve"> </w:t>
      </w:r>
      <w:r w:rsidR="00A173BC">
        <w:rPr>
          <w:rFonts w:ascii="Verdana" w:hAnsi="Verdana" w:cs="Arial"/>
          <w:sz w:val="24"/>
          <w:szCs w:val="24"/>
        </w:rPr>
        <w:t>older</w:t>
      </w:r>
      <w:r w:rsidR="00EE64ED" w:rsidRPr="00BC2FAB">
        <w:rPr>
          <w:rFonts w:ascii="Verdana" w:hAnsi="Verdana" w:cs="Arial"/>
          <w:sz w:val="24"/>
          <w:szCs w:val="24"/>
        </w:rPr>
        <w:t xml:space="preserve"> than</w:t>
      </w:r>
      <w:r w:rsidR="00C1089C" w:rsidRPr="00BC2FAB">
        <w:rPr>
          <w:rFonts w:ascii="Verdana" w:hAnsi="Verdana" w:cs="Arial"/>
          <w:sz w:val="24"/>
          <w:szCs w:val="24"/>
        </w:rPr>
        <w:t xml:space="preserve"> the </w:t>
      </w:r>
      <w:r w:rsidR="00887B8D">
        <w:rPr>
          <w:rFonts w:ascii="Verdana" w:hAnsi="Verdana" w:cs="Arial"/>
          <w:sz w:val="24"/>
          <w:szCs w:val="24"/>
        </w:rPr>
        <w:t>borough</w:t>
      </w:r>
      <w:r w:rsidR="00C1089C" w:rsidRPr="00BC2FAB">
        <w:rPr>
          <w:rFonts w:ascii="Verdana" w:hAnsi="Verdana" w:cs="Arial"/>
          <w:sz w:val="24"/>
          <w:szCs w:val="24"/>
        </w:rPr>
        <w:t xml:space="preserve"> </w:t>
      </w:r>
      <w:r w:rsidR="00B05248">
        <w:rPr>
          <w:rFonts w:ascii="Verdana" w:hAnsi="Verdana" w:cs="Arial"/>
          <w:sz w:val="24"/>
          <w:szCs w:val="24"/>
        </w:rPr>
        <w:t>(</w:t>
      </w:r>
      <w:r>
        <w:rPr>
          <w:rFonts w:ascii="Verdana" w:hAnsi="Verdana" w:cs="Arial"/>
          <w:sz w:val="24"/>
          <w:szCs w:val="24"/>
        </w:rPr>
        <w:t>42</w:t>
      </w:r>
      <w:r w:rsidR="00EE64ED" w:rsidRPr="00BC2FAB">
        <w:rPr>
          <w:rFonts w:ascii="Verdana" w:hAnsi="Verdana" w:cs="Arial"/>
          <w:sz w:val="24"/>
          <w:szCs w:val="24"/>
        </w:rPr>
        <w:t>)</w:t>
      </w:r>
      <w:r w:rsidR="00A173BC">
        <w:rPr>
          <w:rFonts w:ascii="Verdana" w:hAnsi="Verdana" w:cs="Arial"/>
          <w:sz w:val="24"/>
          <w:szCs w:val="24"/>
        </w:rPr>
        <w:t>,</w:t>
      </w:r>
      <w:r w:rsidR="00563649">
        <w:rPr>
          <w:rFonts w:ascii="Verdana" w:hAnsi="Verdana" w:cs="Arial"/>
          <w:sz w:val="24"/>
          <w:szCs w:val="24"/>
        </w:rPr>
        <w:t xml:space="preserve"> region</w:t>
      </w:r>
      <w:r w:rsidR="00E27488" w:rsidRPr="00BC2FAB">
        <w:rPr>
          <w:rFonts w:ascii="Verdana" w:hAnsi="Verdana" w:cs="Arial"/>
          <w:sz w:val="24"/>
          <w:szCs w:val="24"/>
        </w:rPr>
        <w:t xml:space="preserve"> (40)</w:t>
      </w:r>
      <w:r w:rsidR="00F414D5" w:rsidRPr="00BC2FAB">
        <w:rPr>
          <w:rFonts w:ascii="Verdana" w:hAnsi="Verdana" w:cs="Arial"/>
          <w:sz w:val="24"/>
          <w:szCs w:val="24"/>
        </w:rPr>
        <w:t xml:space="preserve"> and national</w:t>
      </w:r>
      <w:r w:rsidR="00384C99" w:rsidRPr="00BC2FAB">
        <w:rPr>
          <w:rFonts w:ascii="Verdana" w:hAnsi="Verdana" w:cs="Arial"/>
          <w:sz w:val="24"/>
          <w:szCs w:val="24"/>
        </w:rPr>
        <w:t xml:space="preserve"> (</w:t>
      </w:r>
      <w:r w:rsidR="004043DC" w:rsidRPr="00BC2FAB">
        <w:rPr>
          <w:rFonts w:ascii="Verdana" w:hAnsi="Verdana" w:cs="Arial"/>
          <w:sz w:val="24"/>
          <w:szCs w:val="24"/>
        </w:rPr>
        <w:t>3</w:t>
      </w:r>
      <w:r w:rsidR="00F414D5" w:rsidRPr="00BC2FAB">
        <w:rPr>
          <w:rFonts w:ascii="Verdana" w:hAnsi="Verdana" w:cs="Arial"/>
          <w:sz w:val="24"/>
          <w:szCs w:val="24"/>
        </w:rPr>
        <w:t>9</w:t>
      </w:r>
      <w:r w:rsidR="00384C99" w:rsidRPr="00BC2FAB">
        <w:rPr>
          <w:rFonts w:ascii="Verdana" w:hAnsi="Verdana" w:cs="Arial"/>
          <w:sz w:val="24"/>
          <w:szCs w:val="24"/>
        </w:rPr>
        <w:t xml:space="preserve">) </w:t>
      </w:r>
      <w:r w:rsidR="00A173BC">
        <w:rPr>
          <w:rFonts w:ascii="Verdana" w:hAnsi="Verdana" w:cs="Arial"/>
          <w:sz w:val="24"/>
          <w:szCs w:val="24"/>
        </w:rPr>
        <w:t>r</w:t>
      </w:r>
      <w:r w:rsidR="00F414D5" w:rsidRPr="00BC2FAB">
        <w:rPr>
          <w:rFonts w:ascii="Verdana" w:hAnsi="Verdana" w:cs="Arial"/>
          <w:sz w:val="24"/>
          <w:szCs w:val="24"/>
        </w:rPr>
        <w:t>ates</w:t>
      </w:r>
      <w:r w:rsidR="00384C99" w:rsidRPr="00BC2FAB">
        <w:rPr>
          <w:rFonts w:ascii="Verdana" w:hAnsi="Verdana" w:cs="Arial"/>
          <w:sz w:val="24"/>
          <w:szCs w:val="24"/>
        </w:rPr>
        <w:t>.</w:t>
      </w:r>
    </w:p>
    <w:bookmarkEnd w:id="0"/>
    <w:bookmarkEnd w:id="1"/>
    <w:p w14:paraId="253F4DEF" w14:textId="77777777" w:rsidR="00826D62" w:rsidRPr="00F37FDE" w:rsidRDefault="00826D62" w:rsidP="008B5A87">
      <w:pPr>
        <w:pStyle w:val="NoSpacing"/>
        <w:jc w:val="both"/>
        <w:rPr>
          <w:rFonts w:ascii="Verdana" w:hAnsi="Verdana" w:cs="Arial"/>
          <w:sz w:val="24"/>
          <w:szCs w:val="24"/>
        </w:rPr>
      </w:pPr>
    </w:p>
    <w:p w14:paraId="089D8BC4" w14:textId="77777777" w:rsidR="002307B1" w:rsidRPr="00887B8D" w:rsidRDefault="002307B1" w:rsidP="002307B1">
      <w:pPr>
        <w:pStyle w:val="Caption"/>
        <w:keepNext/>
        <w:spacing w:after="120"/>
        <w:jc w:val="center"/>
        <w:rPr>
          <w:rFonts w:ascii="Verdana" w:hAnsi="Verdana" w:cs="Arial"/>
          <w:b/>
          <w:sz w:val="22"/>
          <w:szCs w:val="24"/>
        </w:rPr>
      </w:pPr>
      <w:r w:rsidRPr="00887B8D">
        <w:rPr>
          <w:rFonts w:ascii="Verdana" w:hAnsi="Verdana" w:cs="Arial"/>
          <w:b/>
          <w:sz w:val="22"/>
          <w:szCs w:val="24"/>
        </w:rPr>
        <w:t xml:space="preserve">Table </w:t>
      </w:r>
      <w:r w:rsidRPr="00887B8D">
        <w:rPr>
          <w:rFonts w:ascii="Verdana" w:hAnsi="Verdana" w:cs="Arial"/>
          <w:b/>
          <w:sz w:val="22"/>
          <w:szCs w:val="24"/>
        </w:rPr>
        <w:fldChar w:fldCharType="begin"/>
      </w:r>
      <w:r w:rsidRPr="00887B8D">
        <w:rPr>
          <w:rFonts w:ascii="Verdana" w:hAnsi="Verdana" w:cs="Arial"/>
          <w:b/>
          <w:sz w:val="22"/>
          <w:szCs w:val="24"/>
        </w:rPr>
        <w:instrText xml:space="preserve"> SEQ Table \* ARABIC </w:instrText>
      </w:r>
      <w:r w:rsidRPr="00887B8D">
        <w:rPr>
          <w:rFonts w:ascii="Verdana" w:hAnsi="Verdana" w:cs="Arial"/>
          <w:b/>
          <w:sz w:val="22"/>
          <w:szCs w:val="24"/>
        </w:rPr>
        <w:fldChar w:fldCharType="separate"/>
      </w:r>
      <w:r w:rsidR="00CA4EB9">
        <w:rPr>
          <w:rFonts w:ascii="Verdana" w:hAnsi="Verdana" w:cs="Arial"/>
          <w:b/>
          <w:noProof/>
          <w:sz w:val="22"/>
          <w:szCs w:val="24"/>
        </w:rPr>
        <w:t>1</w:t>
      </w:r>
      <w:r w:rsidRPr="00887B8D">
        <w:rPr>
          <w:rFonts w:ascii="Verdana" w:hAnsi="Verdana" w:cs="Arial"/>
          <w:b/>
          <w:sz w:val="22"/>
          <w:szCs w:val="24"/>
        </w:rPr>
        <w:fldChar w:fldCharType="end"/>
      </w:r>
      <w:r w:rsidRPr="00887B8D">
        <w:rPr>
          <w:rFonts w:ascii="Verdana" w:hAnsi="Verdana" w:cs="Arial"/>
          <w:b/>
          <w:sz w:val="22"/>
          <w:szCs w:val="24"/>
        </w:rPr>
        <w:t>: Usual Residents by Age Band, 2011</w:t>
      </w:r>
    </w:p>
    <w:tbl>
      <w:tblPr>
        <w:tblW w:w="0" w:type="auto"/>
        <w:jc w:val="center"/>
        <w:tblLook w:val="04A0" w:firstRow="1" w:lastRow="0" w:firstColumn="1" w:lastColumn="0" w:noHBand="0" w:noVBand="1"/>
      </w:tblPr>
      <w:tblGrid>
        <w:gridCol w:w="2198"/>
        <w:gridCol w:w="1317"/>
        <w:gridCol w:w="1222"/>
        <w:gridCol w:w="1742"/>
        <w:gridCol w:w="1435"/>
        <w:gridCol w:w="1102"/>
      </w:tblGrid>
      <w:tr w:rsidR="00874C26" w:rsidRPr="00887B8D" w14:paraId="26EF1C78" w14:textId="77777777" w:rsidTr="00887B8D">
        <w:trPr>
          <w:jc w:val="center"/>
        </w:trPr>
        <w:tc>
          <w:tcPr>
            <w:tcW w:w="2239" w:type="dxa"/>
            <w:tcBorders>
              <w:top w:val="single" w:sz="4" w:space="0" w:color="auto"/>
              <w:left w:val="single" w:sz="4" w:space="0" w:color="auto"/>
              <w:bottom w:val="nil"/>
              <w:right w:val="single" w:sz="8" w:space="0" w:color="auto"/>
            </w:tcBorders>
            <w:shd w:val="clear" w:color="auto" w:fill="DEEAF6" w:themeFill="accent1" w:themeFillTint="33"/>
            <w:noWrap/>
            <w:vAlign w:val="bottom"/>
            <w:hideMark/>
          </w:tcPr>
          <w:p w14:paraId="1F078BB0" w14:textId="77777777" w:rsidR="00874C26" w:rsidRPr="00887B8D" w:rsidRDefault="00874C26" w:rsidP="008B5A87">
            <w:pPr>
              <w:spacing w:after="0" w:line="240" w:lineRule="auto"/>
              <w:jc w:val="both"/>
              <w:rPr>
                <w:rFonts w:ascii="Verdana" w:eastAsia="Times New Roman" w:hAnsi="Verdana" w:cs="Arial"/>
                <w:color w:val="000000"/>
                <w:sz w:val="20"/>
                <w:szCs w:val="20"/>
                <w:lang w:eastAsia="en-GB"/>
              </w:rPr>
            </w:pPr>
          </w:p>
        </w:tc>
        <w:tc>
          <w:tcPr>
            <w:tcW w:w="2583" w:type="dxa"/>
            <w:gridSpan w:val="2"/>
            <w:tcBorders>
              <w:top w:val="single" w:sz="4" w:space="0" w:color="auto"/>
              <w:left w:val="nil"/>
              <w:bottom w:val="single" w:sz="8" w:space="0" w:color="auto"/>
              <w:right w:val="single" w:sz="8" w:space="0" w:color="auto"/>
            </w:tcBorders>
            <w:shd w:val="clear" w:color="auto" w:fill="DEEAF6" w:themeFill="accent1" w:themeFillTint="33"/>
            <w:vAlign w:val="center"/>
            <w:hideMark/>
          </w:tcPr>
          <w:p w14:paraId="7F869C3A" w14:textId="77777777" w:rsidR="00874C26" w:rsidRPr="00887B8D" w:rsidRDefault="00F64A4F" w:rsidP="001C020C">
            <w:pPr>
              <w:spacing w:after="0" w:line="240" w:lineRule="auto"/>
              <w:jc w:val="center"/>
              <w:rPr>
                <w:rFonts w:ascii="Verdana" w:eastAsia="Times New Roman" w:hAnsi="Verdana" w:cs="Arial"/>
                <w:b/>
                <w:bCs/>
                <w:color w:val="000000"/>
                <w:sz w:val="20"/>
                <w:szCs w:val="20"/>
                <w:lang w:eastAsia="en-GB"/>
              </w:rPr>
            </w:pPr>
            <w:r>
              <w:rPr>
                <w:rFonts w:ascii="Verdana" w:eastAsia="Times New Roman" w:hAnsi="Verdana" w:cs="Arial"/>
                <w:b/>
                <w:bCs/>
                <w:color w:val="000000"/>
                <w:sz w:val="20"/>
                <w:szCs w:val="20"/>
                <w:lang w:eastAsia="en-GB"/>
              </w:rPr>
              <w:t>Blackfordby</w:t>
            </w:r>
            <w:r w:rsidR="00E36FF9" w:rsidRPr="00887B8D">
              <w:rPr>
                <w:rFonts w:ascii="Verdana" w:eastAsia="Times New Roman" w:hAnsi="Verdana" w:cs="Arial"/>
                <w:b/>
                <w:bCs/>
                <w:color w:val="000000"/>
                <w:sz w:val="20"/>
                <w:szCs w:val="20"/>
                <w:lang w:eastAsia="en-GB"/>
              </w:rPr>
              <w:t xml:space="preserve"> </w:t>
            </w:r>
          </w:p>
        </w:tc>
        <w:tc>
          <w:tcPr>
            <w:tcW w:w="1774" w:type="dxa"/>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hideMark/>
          </w:tcPr>
          <w:p w14:paraId="6A244D3C" w14:textId="77777777" w:rsidR="00874C26" w:rsidRPr="00887B8D" w:rsidRDefault="00F64A4F" w:rsidP="008B5A87">
            <w:pPr>
              <w:tabs>
                <w:tab w:val="left" w:pos="1452"/>
              </w:tabs>
              <w:spacing w:after="0" w:line="240" w:lineRule="auto"/>
              <w:jc w:val="center"/>
              <w:rPr>
                <w:rFonts w:ascii="Verdana" w:eastAsia="Times New Roman" w:hAnsi="Verdana" w:cs="Arial"/>
                <w:b/>
                <w:bCs/>
                <w:color w:val="000000"/>
                <w:sz w:val="20"/>
                <w:szCs w:val="20"/>
                <w:lang w:eastAsia="en-GB"/>
              </w:rPr>
            </w:pPr>
            <w:r>
              <w:rPr>
                <w:rFonts w:ascii="Verdana" w:eastAsia="Times New Roman" w:hAnsi="Verdana" w:cs="Arial"/>
                <w:b/>
                <w:bCs/>
                <w:color w:val="000000"/>
                <w:sz w:val="20"/>
                <w:szCs w:val="20"/>
                <w:lang w:eastAsia="en-GB"/>
              </w:rPr>
              <w:t>NW Leics</w:t>
            </w:r>
          </w:p>
        </w:tc>
        <w:tc>
          <w:tcPr>
            <w:tcW w:w="1460" w:type="dxa"/>
            <w:tcBorders>
              <w:top w:val="single" w:sz="4" w:space="0" w:color="auto"/>
              <w:left w:val="single" w:sz="8" w:space="0" w:color="auto"/>
              <w:bottom w:val="single" w:sz="8" w:space="0" w:color="auto"/>
              <w:right w:val="single" w:sz="8" w:space="0" w:color="auto"/>
            </w:tcBorders>
            <w:shd w:val="clear" w:color="auto" w:fill="DEEAF6" w:themeFill="accent1" w:themeFillTint="33"/>
            <w:vAlign w:val="center"/>
            <w:hideMark/>
          </w:tcPr>
          <w:p w14:paraId="0DB3F3DB" w14:textId="77777777" w:rsidR="00874C26" w:rsidRPr="00887B8D" w:rsidRDefault="00E27488" w:rsidP="00F37FDE">
            <w:pPr>
              <w:spacing w:after="0" w:line="240" w:lineRule="auto"/>
              <w:jc w:val="center"/>
              <w:rPr>
                <w:rFonts w:ascii="Verdana" w:eastAsia="Times New Roman" w:hAnsi="Verdana" w:cs="Arial"/>
                <w:b/>
                <w:bCs/>
                <w:color w:val="000000"/>
                <w:sz w:val="20"/>
                <w:szCs w:val="20"/>
                <w:lang w:eastAsia="en-GB"/>
              </w:rPr>
            </w:pPr>
            <w:r w:rsidRPr="00887B8D">
              <w:rPr>
                <w:rFonts w:ascii="Verdana" w:eastAsia="Times New Roman" w:hAnsi="Verdana" w:cs="Arial"/>
                <w:b/>
                <w:bCs/>
                <w:color w:val="000000"/>
                <w:sz w:val="20"/>
                <w:szCs w:val="20"/>
                <w:lang w:eastAsia="en-GB"/>
              </w:rPr>
              <w:t>East Midlands</w:t>
            </w:r>
          </w:p>
        </w:tc>
        <w:tc>
          <w:tcPr>
            <w:tcW w:w="0" w:type="auto"/>
            <w:tcBorders>
              <w:top w:val="single" w:sz="4" w:space="0" w:color="auto"/>
              <w:left w:val="single" w:sz="8" w:space="0" w:color="auto"/>
              <w:bottom w:val="single" w:sz="8" w:space="0" w:color="auto"/>
              <w:right w:val="single" w:sz="4" w:space="0" w:color="auto"/>
            </w:tcBorders>
            <w:shd w:val="clear" w:color="auto" w:fill="DEEAF6" w:themeFill="accent1" w:themeFillTint="33"/>
            <w:vAlign w:val="center"/>
            <w:hideMark/>
          </w:tcPr>
          <w:p w14:paraId="4B9ED21A" w14:textId="77777777" w:rsidR="00874C26" w:rsidRPr="00887B8D" w:rsidRDefault="00874C26" w:rsidP="008B5A87">
            <w:pPr>
              <w:spacing w:after="0" w:line="240" w:lineRule="auto"/>
              <w:jc w:val="center"/>
              <w:rPr>
                <w:rFonts w:ascii="Verdana" w:eastAsia="Times New Roman" w:hAnsi="Verdana" w:cs="Arial"/>
                <w:b/>
                <w:bCs/>
                <w:color w:val="000000"/>
                <w:sz w:val="20"/>
                <w:szCs w:val="20"/>
                <w:lang w:eastAsia="en-GB"/>
              </w:rPr>
            </w:pPr>
            <w:r w:rsidRPr="00887B8D">
              <w:rPr>
                <w:rFonts w:ascii="Verdana" w:eastAsia="Times New Roman" w:hAnsi="Verdana" w:cs="Arial"/>
                <w:b/>
                <w:bCs/>
                <w:color w:val="000000"/>
                <w:sz w:val="20"/>
                <w:szCs w:val="20"/>
                <w:lang w:eastAsia="en-GB"/>
              </w:rPr>
              <w:t>England</w:t>
            </w:r>
          </w:p>
        </w:tc>
      </w:tr>
      <w:tr w:rsidR="00874C26" w:rsidRPr="00887B8D" w14:paraId="73076024" w14:textId="77777777" w:rsidTr="00887B8D">
        <w:trPr>
          <w:jc w:val="center"/>
        </w:trPr>
        <w:tc>
          <w:tcPr>
            <w:tcW w:w="2239" w:type="dxa"/>
            <w:tcBorders>
              <w:top w:val="nil"/>
              <w:left w:val="single" w:sz="4" w:space="0" w:color="auto"/>
              <w:bottom w:val="single" w:sz="8" w:space="0" w:color="auto"/>
              <w:right w:val="single" w:sz="8" w:space="0" w:color="auto"/>
            </w:tcBorders>
            <w:shd w:val="clear" w:color="auto" w:fill="DEEAF6" w:themeFill="accent1" w:themeFillTint="33"/>
            <w:noWrap/>
            <w:vAlign w:val="bottom"/>
            <w:hideMark/>
          </w:tcPr>
          <w:p w14:paraId="3E23E616" w14:textId="77777777" w:rsidR="00874C26" w:rsidRPr="00887B8D" w:rsidRDefault="00874C26" w:rsidP="008B5A87">
            <w:pPr>
              <w:spacing w:after="0" w:line="240" w:lineRule="auto"/>
              <w:jc w:val="both"/>
              <w:rPr>
                <w:rFonts w:ascii="Verdana" w:eastAsia="Times New Roman" w:hAnsi="Verdana" w:cs="Arial"/>
                <w:color w:val="000000"/>
                <w:sz w:val="20"/>
                <w:szCs w:val="20"/>
                <w:lang w:eastAsia="en-GB"/>
              </w:rPr>
            </w:pPr>
            <w:r w:rsidRPr="00887B8D">
              <w:rPr>
                <w:rFonts w:ascii="Verdana" w:eastAsia="Times New Roman" w:hAnsi="Verdana" w:cs="Arial"/>
                <w:color w:val="000000"/>
                <w:sz w:val="20"/>
                <w:szCs w:val="20"/>
                <w:lang w:eastAsia="en-GB"/>
              </w:rPr>
              <w:t> </w:t>
            </w:r>
          </w:p>
        </w:tc>
        <w:tc>
          <w:tcPr>
            <w:tcW w:w="1340" w:type="dxa"/>
            <w:tcBorders>
              <w:top w:val="nil"/>
              <w:left w:val="nil"/>
              <w:bottom w:val="single" w:sz="8" w:space="0" w:color="auto"/>
              <w:right w:val="single" w:sz="8" w:space="0" w:color="auto"/>
            </w:tcBorders>
            <w:shd w:val="clear" w:color="auto" w:fill="DEEAF6" w:themeFill="accent1" w:themeFillTint="33"/>
            <w:noWrap/>
            <w:vAlign w:val="center"/>
            <w:hideMark/>
          </w:tcPr>
          <w:p w14:paraId="023EA034" w14:textId="77777777" w:rsidR="00874C26" w:rsidRPr="00887B8D" w:rsidRDefault="00874C26" w:rsidP="00C91559">
            <w:pPr>
              <w:tabs>
                <w:tab w:val="decimal" w:pos="444"/>
              </w:tabs>
              <w:spacing w:after="0" w:line="240" w:lineRule="auto"/>
              <w:rPr>
                <w:rFonts w:ascii="Verdana" w:eastAsia="Times New Roman" w:hAnsi="Verdana" w:cs="Arial"/>
                <w:b/>
                <w:bCs/>
                <w:color w:val="000000"/>
                <w:sz w:val="20"/>
                <w:szCs w:val="20"/>
                <w:lang w:eastAsia="en-GB"/>
              </w:rPr>
            </w:pPr>
            <w:r w:rsidRPr="00887B8D">
              <w:rPr>
                <w:rFonts w:ascii="Verdana" w:eastAsia="Times New Roman" w:hAnsi="Verdana" w:cs="Arial"/>
                <w:b/>
                <w:bCs/>
                <w:color w:val="000000"/>
                <w:sz w:val="20"/>
                <w:szCs w:val="20"/>
                <w:lang w:eastAsia="en-GB"/>
              </w:rPr>
              <w:t>No</w:t>
            </w:r>
          </w:p>
        </w:tc>
        <w:tc>
          <w:tcPr>
            <w:tcW w:w="0" w:type="auto"/>
            <w:tcBorders>
              <w:top w:val="nil"/>
              <w:left w:val="nil"/>
              <w:bottom w:val="single" w:sz="8" w:space="0" w:color="auto"/>
              <w:right w:val="single" w:sz="8" w:space="0" w:color="auto"/>
            </w:tcBorders>
            <w:shd w:val="clear" w:color="auto" w:fill="DEEAF6" w:themeFill="accent1" w:themeFillTint="33"/>
            <w:noWrap/>
            <w:vAlign w:val="center"/>
            <w:hideMark/>
          </w:tcPr>
          <w:p w14:paraId="3794A5EF" w14:textId="77777777" w:rsidR="00874C26" w:rsidRPr="00887B8D" w:rsidRDefault="00874C26" w:rsidP="00C91559">
            <w:pPr>
              <w:tabs>
                <w:tab w:val="decimal" w:pos="444"/>
              </w:tabs>
              <w:spacing w:after="0" w:line="240" w:lineRule="auto"/>
              <w:rPr>
                <w:rFonts w:ascii="Verdana" w:eastAsia="Times New Roman" w:hAnsi="Verdana" w:cs="Arial"/>
                <w:b/>
                <w:bCs/>
                <w:color w:val="000000"/>
                <w:sz w:val="20"/>
                <w:szCs w:val="20"/>
                <w:lang w:eastAsia="en-GB"/>
              </w:rPr>
            </w:pPr>
            <w:r w:rsidRPr="00887B8D">
              <w:rPr>
                <w:rFonts w:ascii="Verdana" w:eastAsia="Times New Roman" w:hAnsi="Verdana" w:cs="Arial"/>
                <w:b/>
                <w:bCs/>
                <w:color w:val="000000"/>
                <w:sz w:val="20"/>
                <w:szCs w:val="20"/>
                <w:lang w:eastAsia="en-GB"/>
              </w:rPr>
              <w:t>%</w:t>
            </w:r>
          </w:p>
        </w:tc>
        <w:tc>
          <w:tcPr>
            <w:tcW w:w="1774" w:type="dxa"/>
            <w:tcBorders>
              <w:top w:val="nil"/>
              <w:left w:val="nil"/>
              <w:bottom w:val="single" w:sz="8" w:space="0" w:color="auto"/>
              <w:right w:val="single" w:sz="8" w:space="0" w:color="auto"/>
            </w:tcBorders>
            <w:shd w:val="clear" w:color="auto" w:fill="DEEAF6" w:themeFill="accent1" w:themeFillTint="33"/>
            <w:noWrap/>
            <w:vAlign w:val="center"/>
            <w:hideMark/>
          </w:tcPr>
          <w:p w14:paraId="5CAEA0C2" w14:textId="77777777" w:rsidR="00874C26" w:rsidRPr="00887B8D" w:rsidRDefault="00874C26" w:rsidP="008B5A87">
            <w:pPr>
              <w:spacing w:after="0" w:line="240" w:lineRule="auto"/>
              <w:jc w:val="center"/>
              <w:rPr>
                <w:rFonts w:ascii="Verdana" w:eastAsia="Times New Roman" w:hAnsi="Verdana" w:cs="Arial"/>
                <w:b/>
                <w:bCs/>
                <w:color w:val="000000"/>
                <w:sz w:val="20"/>
                <w:szCs w:val="20"/>
                <w:lang w:eastAsia="en-GB"/>
              </w:rPr>
            </w:pPr>
            <w:r w:rsidRPr="00887B8D">
              <w:rPr>
                <w:rFonts w:ascii="Verdana" w:eastAsia="Times New Roman" w:hAnsi="Verdana" w:cs="Arial"/>
                <w:b/>
                <w:bCs/>
                <w:color w:val="000000"/>
                <w:sz w:val="20"/>
                <w:szCs w:val="20"/>
                <w:lang w:eastAsia="en-GB"/>
              </w:rPr>
              <w:t>%</w:t>
            </w:r>
          </w:p>
        </w:tc>
        <w:tc>
          <w:tcPr>
            <w:tcW w:w="1460" w:type="dxa"/>
            <w:tcBorders>
              <w:top w:val="nil"/>
              <w:left w:val="nil"/>
              <w:bottom w:val="single" w:sz="8" w:space="0" w:color="auto"/>
              <w:right w:val="single" w:sz="8" w:space="0" w:color="auto"/>
            </w:tcBorders>
            <w:shd w:val="clear" w:color="auto" w:fill="DEEAF6" w:themeFill="accent1" w:themeFillTint="33"/>
            <w:noWrap/>
            <w:vAlign w:val="center"/>
            <w:hideMark/>
          </w:tcPr>
          <w:p w14:paraId="325A28A4" w14:textId="77777777" w:rsidR="00874C26" w:rsidRPr="00887B8D" w:rsidRDefault="00874C26" w:rsidP="008B5A87">
            <w:pPr>
              <w:spacing w:after="0" w:line="240" w:lineRule="auto"/>
              <w:jc w:val="center"/>
              <w:rPr>
                <w:rFonts w:ascii="Verdana" w:eastAsia="Times New Roman" w:hAnsi="Verdana" w:cs="Arial"/>
                <w:b/>
                <w:bCs/>
                <w:color w:val="000000"/>
                <w:sz w:val="20"/>
                <w:szCs w:val="20"/>
                <w:lang w:eastAsia="en-GB"/>
              </w:rPr>
            </w:pPr>
            <w:r w:rsidRPr="00887B8D">
              <w:rPr>
                <w:rFonts w:ascii="Verdana" w:eastAsia="Times New Roman" w:hAnsi="Verdana" w:cs="Arial"/>
                <w:b/>
                <w:bCs/>
                <w:color w:val="000000"/>
                <w:sz w:val="20"/>
                <w:szCs w:val="20"/>
                <w:lang w:eastAsia="en-GB"/>
              </w:rPr>
              <w:t>%</w:t>
            </w:r>
          </w:p>
        </w:tc>
        <w:tc>
          <w:tcPr>
            <w:tcW w:w="0" w:type="auto"/>
            <w:tcBorders>
              <w:top w:val="nil"/>
              <w:left w:val="nil"/>
              <w:bottom w:val="single" w:sz="8" w:space="0" w:color="auto"/>
              <w:right w:val="single" w:sz="4" w:space="0" w:color="auto"/>
            </w:tcBorders>
            <w:shd w:val="clear" w:color="auto" w:fill="DEEAF6" w:themeFill="accent1" w:themeFillTint="33"/>
            <w:noWrap/>
            <w:vAlign w:val="center"/>
            <w:hideMark/>
          </w:tcPr>
          <w:p w14:paraId="47D5E036" w14:textId="77777777" w:rsidR="00874C26" w:rsidRPr="00887B8D" w:rsidRDefault="00874C26" w:rsidP="008B5A87">
            <w:pPr>
              <w:spacing w:after="0" w:line="240" w:lineRule="auto"/>
              <w:jc w:val="center"/>
              <w:rPr>
                <w:rFonts w:ascii="Verdana" w:eastAsia="Times New Roman" w:hAnsi="Verdana" w:cs="Arial"/>
                <w:b/>
                <w:bCs/>
                <w:color w:val="000000"/>
                <w:sz w:val="20"/>
                <w:szCs w:val="20"/>
                <w:lang w:eastAsia="en-GB"/>
              </w:rPr>
            </w:pPr>
            <w:r w:rsidRPr="00887B8D">
              <w:rPr>
                <w:rFonts w:ascii="Verdana" w:eastAsia="Times New Roman" w:hAnsi="Verdana" w:cs="Arial"/>
                <w:b/>
                <w:bCs/>
                <w:color w:val="000000"/>
                <w:sz w:val="20"/>
                <w:szCs w:val="20"/>
                <w:lang w:eastAsia="en-GB"/>
              </w:rPr>
              <w:t>%</w:t>
            </w:r>
          </w:p>
        </w:tc>
      </w:tr>
      <w:tr w:rsidR="00F00A5C" w:rsidRPr="00887B8D" w14:paraId="6F278CE4" w14:textId="77777777" w:rsidTr="004D6433">
        <w:trPr>
          <w:jc w:val="center"/>
        </w:trPr>
        <w:tc>
          <w:tcPr>
            <w:tcW w:w="223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D002DD3" w14:textId="77777777" w:rsidR="00F00A5C" w:rsidRPr="00887B8D" w:rsidRDefault="00F00A5C" w:rsidP="00F00A5C">
            <w:pPr>
              <w:spacing w:after="0" w:line="240" w:lineRule="auto"/>
              <w:jc w:val="right"/>
              <w:rPr>
                <w:rFonts w:ascii="Verdana" w:eastAsia="Times New Roman" w:hAnsi="Verdana" w:cs="Arial"/>
                <w:color w:val="000000"/>
                <w:sz w:val="20"/>
                <w:szCs w:val="20"/>
                <w:lang w:eastAsia="en-GB"/>
              </w:rPr>
            </w:pPr>
            <w:r w:rsidRPr="00887B8D">
              <w:rPr>
                <w:rFonts w:ascii="Verdana" w:eastAsia="Times New Roman" w:hAnsi="Verdana" w:cs="Arial"/>
                <w:color w:val="000000"/>
                <w:sz w:val="20"/>
                <w:szCs w:val="20"/>
                <w:lang w:eastAsia="en-GB"/>
              </w:rPr>
              <w:t>Aged 0-4</w:t>
            </w:r>
          </w:p>
        </w:tc>
        <w:tc>
          <w:tcPr>
            <w:tcW w:w="1340" w:type="dxa"/>
            <w:tcBorders>
              <w:top w:val="single" w:sz="8" w:space="0" w:color="auto"/>
              <w:left w:val="nil"/>
              <w:bottom w:val="single" w:sz="4" w:space="0" w:color="auto"/>
              <w:right w:val="nil"/>
            </w:tcBorders>
            <w:shd w:val="clear" w:color="auto" w:fill="auto"/>
            <w:noWrap/>
            <w:vAlign w:val="bottom"/>
          </w:tcPr>
          <w:p w14:paraId="0AEAF576" w14:textId="77777777" w:rsidR="00F00A5C" w:rsidRPr="00F00A5C" w:rsidRDefault="00F00A5C" w:rsidP="00F00A5C">
            <w:pPr>
              <w:tabs>
                <w:tab w:val="decimal" w:pos="851"/>
              </w:tabs>
              <w:spacing w:after="0" w:line="240" w:lineRule="auto"/>
              <w:rPr>
                <w:rFonts w:ascii="Verdana" w:hAnsi="Verdana" w:cs="Calibri"/>
                <w:color w:val="000000"/>
                <w:sz w:val="20"/>
                <w:szCs w:val="20"/>
              </w:rPr>
            </w:pPr>
            <w:r w:rsidRPr="00F00A5C">
              <w:rPr>
                <w:rFonts w:ascii="Verdana" w:hAnsi="Verdana" w:cs="Calibri"/>
                <w:color w:val="000000"/>
                <w:sz w:val="20"/>
                <w:szCs w:val="20"/>
              </w:rPr>
              <w:t>60</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tcPr>
          <w:p w14:paraId="72D76271" w14:textId="77777777" w:rsidR="00F00A5C" w:rsidRPr="00F00A5C" w:rsidRDefault="00F00A5C" w:rsidP="00F00A5C">
            <w:pPr>
              <w:tabs>
                <w:tab w:val="decimal" w:pos="499"/>
              </w:tabs>
              <w:spacing w:after="0" w:line="240" w:lineRule="auto"/>
              <w:rPr>
                <w:rFonts w:ascii="Verdana" w:hAnsi="Verdana" w:cs="Calibri"/>
                <w:color w:val="000000"/>
                <w:sz w:val="20"/>
                <w:szCs w:val="20"/>
              </w:rPr>
            </w:pPr>
            <w:r w:rsidRPr="00F00A5C">
              <w:rPr>
                <w:rFonts w:ascii="Verdana" w:hAnsi="Verdana" w:cs="Calibri"/>
                <w:color w:val="000000"/>
                <w:sz w:val="20"/>
                <w:szCs w:val="20"/>
              </w:rPr>
              <w:t>4.1</w:t>
            </w:r>
          </w:p>
        </w:tc>
        <w:tc>
          <w:tcPr>
            <w:tcW w:w="1774" w:type="dxa"/>
            <w:tcBorders>
              <w:top w:val="single" w:sz="8" w:space="0" w:color="auto"/>
              <w:left w:val="nil"/>
              <w:bottom w:val="single" w:sz="4" w:space="0" w:color="auto"/>
              <w:right w:val="single" w:sz="8" w:space="0" w:color="auto"/>
            </w:tcBorders>
            <w:shd w:val="clear" w:color="auto" w:fill="auto"/>
            <w:noWrap/>
            <w:vAlign w:val="bottom"/>
          </w:tcPr>
          <w:p w14:paraId="4BE87A31" w14:textId="77777777" w:rsidR="00F00A5C" w:rsidRPr="00F00A5C" w:rsidRDefault="00F00A5C" w:rsidP="00F00A5C">
            <w:pPr>
              <w:tabs>
                <w:tab w:val="decimal" w:pos="810"/>
              </w:tabs>
              <w:spacing w:after="0" w:line="240" w:lineRule="auto"/>
              <w:rPr>
                <w:rFonts w:ascii="Verdana" w:hAnsi="Verdana" w:cs="Calibri"/>
                <w:color w:val="000000"/>
                <w:sz w:val="20"/>
                <w:szCs w:val="20"/>
              </w:rPr>
            </w:pPr>
            <w:r w:rsidRPr="00F00A5C">
              <w:rPr>
                <w:rFonts w:ascii="Verdana" w:hAnsi="Verdana" w:cs="Calibri"/>
                <w:color w:val="000000"/>
                <w:sz w:val="20"/>
                <w:szCs w:val="20"/>
              </w:rPr>
              <w:t>5.9</w:t>
            </w:r>
          </w:p>
        </w:tc>
        <w:tc>
          <w:tcPr>
            <w:tcW w:w="1460" w:type="dxa"/>
            <w:tcBorders>
              <w:top w:val="single" w:sz="8" w:space="0" w:color="auto"/>
              <w:left w:val="nil"/>
              <w:bottom w:val="single" w:sz="4" w:space="0" w:color="auto"/>
              <w:right w:val="nil"/>
            </w:tcBorders>
            <w:shd w:val="clear" w:color="auto" w:fill="auto"/>
            <w:noWrap/>
            <w:vAlign w:val="center"/>
          </w:tcPr>
          <w:p w14:paraId="30A48E6E" w14:textId="77777777" w:rsidR="00F00A5C" w:rsidRPr="00887B8D" w:rsidRDefault="00F00A5C" w:rsidP="00F00A5C">
            <w:pPr>
              <w:tabs>
                <w:tab w:val="decimal" w:pos="606"/>
              </w:tabs>
              <w:spacing w:after="0" w:line="240" w:lineRule="auto"/>
              <w:rPr>
                <w:rFonts w:ascii="Verdana" w:hAnsi="Verdana" w:cs="Calibri"/>
                <w:color w:val="000000"/>
                <w:sz w:val="20"/>
                <w:szCs w:val="20"/>
              </w:rPr>
            </w:pPr>
            <w:r w:rsidRPr="00887B8D">
              <w:rPr>
                <w:rFonts w:ascii="Verdana" w:hAnsi="Verdana" w:cs="Calibri"/>
                <w:color w:val="000000"/>
                <w:sz w:val="20"/>
                <w:szCs w:val="20"/>
              </w:rPr>
              <w:t>6.0</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14:paraId="33F8E9A1" w14:textId="77777777" w:rsidR="00F00A5C" w:rsidRPr="00887B8D" w:rsidRDefault="00F00A5C" w:rsidP="00F00A5C">
            <w:pPr>
              <w:tabs>
                <w:tab w:val="decimal" w:pos="540"/>
              </w:tabs>
              <w:spacing w:after="0" w:line="240" w:lineRule="auto"/>
              <w:rPr>
                <w:rFonts w:ascii="Verdana" w:hAnsi="Verdana" w:cs="Calibri"/>
                <w:color w:val="000000"/>
                <w:sz w:val="20"/>
                <w:szCs w:val="20"/>
              </w:rPr>
            </w:pPr>
            <w:r w:rsidRPr="00887B8D">
              <w:rPr>
                <w:rFonts w:ascii="Verdana" w:hAnsi="Verdana" w:cs="Calibri"/>
                <w:color w:val="000000"/>
                <w:sz w:val="20"/>
                <w:szCs w:val="20"/>
              </w:rPr>
              <w:t>6.3</w:t>
            </w:r>
          </w:p>
        </w:tc>
      </w:tr>
      <w:tr w:rsidR="00F00A5C" w:rsidRPr="00887B8D" w14:paraId="2F4B004A" w14:textId="77777777" w:rsidTr="004D6433">
        <w:trPr>
          <w:jc w:val="center"/>
        </w:trPr>
        <w:tc>
          <w:tcPr>
            <w:tcW w:w="223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550B00" w14:textId="77777777" w:rsidR="00F00A5C" w:rsidRPr="00887B8D" w:rsidRDefault="00F00A5C" w:rsidP="00F00A5C">
            <w:pPr>
              <w:spacing w:after="0" w:line="240" w:lineRule="auto"/>
              <w:jc w:val="right"/>
              <w:rPr>
                <w:rFonts w:ascii="Verdana" w:eastAsia="Times New Roman" w:hAnsi="Verdana" w:cs="Arial"/>
                <w:color w:val="000000"/>
                <w:sz w:val="20"/>
                <w:szCs w:val="20"/>
                <w:lang w:eastAsia="en-GB"/>
              </w:rPr>
            </w:pPr>
            <w:r w:rsidRPr="00887B8D">
              <w:rPr>
                <w:rFonts w:ascii="Verdana" w:eastAsia="Times New Roman" w:hAnsi="Verdana" w:cs="Arial"/>
                <w:color w:val="000000"/>
                <w:sz w:val="20"/>
                <w:szCs w:val="20"/>
                <w:lang w:eastAsia="en-GB"/>
              </w:rPr>
              <w:t>Aged 5-15</w:t>
            </w:r>
          </w:p>
        </w:tc>
        <w:tc>
          <w:tcPr>
            <w:tcW w:w="1340" w:type="dxa"/>
            <w:tcBorders>
              <w:top w:val="single" w:sz="4" w:space="0" w:color="auto"/>
              <w:left w:val="nil"/>
              <w:bottom w:val="single" w:sz="4" w:space="0" w:color="auto"/>
              <w:right w:val="nil"/>
            </w:tcBorders>
            <w:shd w:val="clear" w:color="auto" w:fill="auto"/>
            <w:noWrap/>
            <w:vAlign w:val="bottom"/>
          </w:tcPr>
          <w:p w14:paraId="6893E8B9" w14:textId="77777777" w:rsidR="00F00A5C" w:rsidRPr="00F00A5C" w:rsidRDefault="00F00A5C" w:rsidP="00F00A5C">
            <w:pPr>
              <w:tabs>
                <w:tab w:val="decimal" w:pos="851"/>
              </w:tabs>
              <w:spacing w:after="0" w:line="240" w:lineRule="auto"/>
              <w:rPr>
                <w:rFonts w:ascii="Verdana" w:hAnsi="Verdana" w:cs="Calibri"/>
                <w:color w:val="000000"/>
                <w:sz w:val="20"/>
                <w:szCs w:val="20"/>
              </w:rPr>
            </w:pPr>
            <w:r w:rsidRPr="00F00A5C">
              <w:rPr>
                <w:rFonts w:ascii="Verdana" w:hAnsi="Verdana" w:cs="Calibri"/>
                <w:color w:val="000000"/>
                <w:sz w:val="20"/>
                <w:szCs w:val="20"/>
              </w:rPr>
              <w:t>143</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14:paraId="0D53E65D" w14:textId="77777777" w:rsidR="00F00A5C" w:rsidRPr="00F00A5C" w:rsidRDefault="00F00A5C" w:rsidP="00F00A5C">
            <w:pPr>
              <w:tabs>
                <w:tab w:val="decimal" w:pos="499"/>
              </w:tabs>
              <w:spacing w:after="0" w:line="240" w:lineRule="auto"/>
              <w:rPr>
                <w:rFonts w:ascii="Verdana" w:hAnsi="Verdana" w:cs="Calibri"/>
                <w:color w:val="000000"/>
                <w:sz w:val="20"/>
                <w:szCs w:val="20"/>
              </w:rPr>
            </w:pPr>
            <w:r w:rsidRPr="00F00A5C">
              <w:rPr>
                <w:rFonts w:ascii="Verdana" w:hAnsi="Verdana" w:cs="Calibri"/>
                <w:color w:val="000000"/>
                <w:sz w:val="20"/>
                <w:szCs w:val="20"/>
              </w:rPr>
              <w:t>9.9</w:t>
            </w:r>
          </w:p>
        </w:tc>
        <w:tc>
          <w:tcPr>
            <w:tcW w:w="1774" w:type="dxa"/>
            <w:tcBorders>
              <w:top w:val="single" w:sz="4" w:space="0" w:color="auto"/>
              <w:left w:val="nil"/>
              <w:bottom w:val="single" w:sz="4" w:space="0" w:color="auto"/>
              <w:right w:val="single" w:sz="8" w:space="0" w:color="auto"/>
            </w:tcBorders>
            <w:shd w:val="clear" w:color="auto" w:fill="auto"/>
            <w:noWrap/>
            <w:vAlign w:val="bottom"/>
          </w:tcPr>
          <w:p w14:paraId="66B93980" w14:textId="77777777" w:rsidR="00F00A5C" w:rsidRPr="00F00A5C" w:rsidRDefault="00F00A5C" w:rsidP="00F00A5C">
            <w:pPr>
              <w:tabs>
                <w:tab w:val="decimal" w:pos="810"/>
              </w:tabs>
              <w:spacing w:after="0" w:line="240" w:lineRule="auto"/>
              <w:rPr>
                <w:rFonts w:ascii="Verdana" w:hAnsi="Verdana" w:cs="Calibri"/>
                <w:color w:val="000000"/>
                <w:sz w:val="20"/>
                <w:szCs w:val="20"/>
              </w:rPr>
            </w:pPr>
            <w:r w:rsidRPr="00F00A5C">
              <w:rPr>
                <w:rFonts w:ascii="Verdana" w:hAnsi="Verdana" w:cs="Calibri"/>
                <w:color w:val="000000"/>
                <w:sz w:val="20"/>
                <w:szCs w:val="20"/>
              </w:rPr>
              <w:t>13.1</w:t>
            </w:r>
          </w:p>
        </w:tc>
        <w:tc>
          <w:tcPr>
            <w:tcW w:w="1460" w:type="dxa"/>
            <w:tcBorders>
              <w:top w:val="single" w:sz="4" w:space="0" w:color="auto"/>
              <w:left w:val="nil"/>
              <w:bottom w:val="single" w:sz="4" w:space="0" w:color="auto"/>
              <w:right w:val="nil"/>
            </w:tcBorders>
            <w:shd w:val="clear" w:color="auto" w:fill="auto"/>
            <w:noWrap/>
            <w:vAlign w:val="center"/>
          </w:tcPr>
          <w:p w14:paraId="6ADFDAC9" w14:textId="77777777" w:rsidR="00F00A5C" w:rsidRPr="00887B8D" w:rsidRDefault="00F00A5C" w:rsidP="00F00A5C">
            <w:pPr>
              <w:tabs>
                <w:tab w:val="decimal" w:pos="606"/>
              </w:tabs>
              <w:spacing w:after="0" w:line="240" w:lineRule="auto"/>
              <w:rPr>
                <w:rFonts w:ascii="Verdana" w:hAnsi="Verdana" w:cs="Calibri"/>
                <w:color w:val="000000"/>
                <w:sz w:val="20"/>
                <w:szCs w:val="20"/>
              </w:rPr>
            </w:pPr>
            <w:r w:rsidRPr="00887B8D">
              <w:rPr>
                <w:rFonts w:ascii="Verdana" w:hAnsi="Verdana" w:cs="Calibri"/>
                <w:color w:val="000000"/>
                <w:sz w:val="20"/>
                <w:szCs w:val="20"/>
              </w:rPr>
              <w:t>12.5</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28D93174" w14:textId="77777777" w:rsidR="00F00A5C" w:rsidRPr="00887B8D" w:rsidRDefault="00F00A5C" w:rsidP="00F00A5C">
            <w:pPr>
              <w:tabs>
                <w:tab w:val="decimal" w:pos="540"/>
              </w:tabs>
              <w:spacing w:after="0" w:line="240" w:lineRule="auto"/>
              <w:rPr>
                <w:rFonts w:ascii="Verdana" w:hAnsi="Verdana" w:cs="Calibri"/>
                <w:color w:val="000000"/>
                <w:sz w:val="20"/>
                <w:szCs w:val="20"/>
              </w:rPr>
            </w:pPr>
            <w:r w:rsidRPr="00887B8D">
              <w:rPr>
                <w:rFonts w:ascii="Verdana" w:hAnsi="Verdana" w:cs="Calibri"/>
                <w:color w:val="000000"/>
                <w:sz w:val="20"/>
                <w:szCs w:val="20"/>
              </w:rPr>
              <w:t>12.6</w:t>
            </w:r>
          </w:p>
        </w:tc>
      </w:tr>
      <w:tr w:rsidR="00F00A5C" w:rsidRPr="00887B8D" w14:paraId="1A302B7D" w14:textId="77777777" w:rsidTr="004D6433">
        <w:trPr>
          <w:jc w:val="center"/>
        </w:trPr>
        <w:tc>
          <w:tcPr>
            <w:tcW w:w="223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56E5DB" w14:textId="77777777" w:rsidR="00F00A5C" w:rsidRPr="00887B8D" w:rsidRDefault="00F00A5C" w:rsidP="00F00A5C">
            <w:pPr>
              <w:spacing w:after="0" w:line="240" w:lineRule="auto"/>
              <w:jc w:val="right"/>
              <w:rPr>
                <w:rFonts w:ascii="Verdana" w:eastAsia="Times New Roman" w:hAnsi="Verdana" w:cs="Arial"/>
                <w:color w:val="000000"/>
                <w:sz w:val="20"/>
                <w:szCs w:val="20"/>
                <w:lang w:eastAsia="en-GB"/>
              </w:rPr>
            </w:pPr>
            <w:r w:rsidRPr="00887B8D">
              <w:rPr>
                <w:rFonts w:ascii="Verdana" w:eastAsia="Times New Roman" w:hAnsi="Verdana" w:cs="Arial"/>
                <w:color w:val="000000"/>
                <w:sz w:val="20"/>
                <w:szCs w:val="20"/>
                <w:lang w:eastAsia="en-GB"/>
              </w:rPr>
              <w:t>Aged 16-64</w:t>
            </w:r>
          </w:p>
        </w:tc>
        <w:tc>
          <w:tcPr>
            <w:tcW w:w="1340" w:type="dxa"/>
            <w:tcBorders>
              <w:top w:val="single" w:sz="4" w:space="0" w:color="auto"/>
              <w:left w:val="nil"/>
              <w:bottom w:val="single" w:sz="4" w:space="0" w:color="auto"/>
              <w:right w:val="nil"/>
            </w:tcBorders>
            <w:shd w:val="clear" w:color="auto" w:fill="auto"/>
            <w:noWrap/>
            <w:vAlign w:val="bottom"/>
          </w:tcPr>
          <w:p w14:paraId="7FBCEDA1" w14:textId="77777777" w:rsidR="00F00A5C" w:rsidRPr="00F00A5C" w:rsidRDefault="00F00A5C" w:rsidP="00F00A5C">
            <w:pPr>
              <w:tabs>
                <w:tab w:val="decimal" w:pos="851"/>
              </w:tabs>
              <w:spacing w:after="0" w:line="240" w:lineRule="auto"/>
              <w:rPr>
                <w:rFonts w:ascii="Verdana" w:hAnsi="Verdana" w:cs="Calibri"/>
                <w:color w:val="000000"/>
                <w:sz w:val="20"/>
                <w:szCs w:val="20"/>
              </w:rPr>
            </w:pPr>
            <w:r w:rsidRPr="00F00A5C">
              <w:rPr>
                <w:rFonts w:ascii="Verdana" w:hAnsi="Verdana" w:cs="Calibri"/>
                <w:color w:val="000000"/>
                <w:sz w:val="20"/>
                <w:szCs w:val="20"/>
              </w:rPr>
              <w:t>841</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14:paraId="0DF5290F" w14:textId="77777777" w:rsidR="00F00A5C" w:rsidRPr="00F00A5C" w:rsidRDefault="00F00A5C" w:rsidP="00F00A5C">
            <w:pPr>
              <w:tabs>
                <w:tab w:val="decimal" w:pos="499"/>
              </w:tabs>
              <w:spacing w:after="0" w:line="240" w:lineRule="auto"/>
              <w:rPr>
                <w:rFonts w:ascii="Verdana" w:hAnsi="Verdana" w:cs="Calibri"/>
                <w:color w:val="000000"/>
                <w:sz w:val="20"/>
                <w:szCs w:val="20"/>
              </w:rPr>
            </w:pPr>
            <w:r w:rsidRPr="00F00A5C">
              <w:rPr>
                <w:rFonts w:ascii="Verdana" w:hAnsi="Verdana" w:cs="Calibri"/>
                <w:color w:val="000000"/>
                <w:sz w:val="20"/>
                <w:szCs w:val="20"/>
              </w:rPr>
              <w:t>58.0</w:t>
            </w:r>
          </w:p>
        </w:tc>
        <w:tc>
          <w:tcPr>
            <w:tcW w:w="1774" w:type="dxa"/>
            <w:tcBorders>
              <w:top w:val="single" w:sz="4" w:space="0" w:color="auto"/>
              <w:left w:val="nil"/>
              <w:bottom w:val="single" w:sz="4" w:space="0" w:color="auto"/>
              <w:right w:val="single" w:sz="8" w:space="0" w:color="auto"/>
            </w:tcBorders>
            <w:shd w:val="clear" w:color="auto" w:fill="auto"/>
            <w:noWrap/>
            <w:vAlign w:val="bottom"/>
          </w:tcPr>
          <w:p w14:paraId="1134E9C3" w14:textId="77777777" w:rsidR="00F00A5C" w:rsidRPr="00F00A5C" w:rsidRDefault="00F00A5C" w:rsidP="00F00A5C">
            <w:pPr>
              <w:tabs>
                <w:tab w:val="decimal" w:pos="810"/>
              </w:tabs>
              <w:spacing w:after="0" w:line="240" w:lineRule="auto"/>
              <w:rPr>
                <w:rFonts w:ascii="Verdana" w:hAnsi="Verdana" w:cs="Calibri"/>
                <w:color w:val="000000"/>
                <w:sz w:val="20"/>
                <w:szCs w:val="20"/>
              </w:rPr>
            </w:pPr>
            <w:r w:rsidRPr="00F00A5C">
              <w:rPr>
                <w:rFonts w:ascii="Verdana" w:hAnsi="Verdana" w:cs="Calibri"/>
                <w:color w:val="000000"/>
                <w:sz w:val="20"/>
                <w:szCs w:val="20"/>
              </w:rPr>
              <w:t>63.7</w:t>
            </w:r>
          </w:p>
        </w:tc>
        <w:tc>
          <w:tcPr>
            <w:tcW w:w="1460" w:type="dxa"/>
            <w:tcBorders>
              <w:top w:val="single" w:sz="4" w:space="0" w:color="auto"/>
              <w:left w:val="nil"/>
              <w:bottom w:val="single" w:sz="4" w:space="0" w:color="auto"/>
              <w:right w:val="nil"/>
            </w:tcBorders>
            <w:shd w:val="clear" w:color="auto" w:fill="auto"/>
            <w:noWrap/>
            <w:vAlign w:val="center"/>
          </w:tcPr>
          <w:p w14:paraId="35F891FE" w14:textId="77777777" w:rsidR="00F00A5C" w:rsidRPr="00887B8D" w:rsidRDefault="00F00A5C" w:rsidP="00F00A5C">
            <w:pPr>
              <w:tabs>
                <w:tab w:val="decimal" w:pos="606"/>
              </w:tabs>
              <w:spacing w:after="0" w:line="240" w:lineRule="auto"/>
              <w:rPr>
                <w:rFonts w:ascii="Verdana" w:hAnsi="Verdana" w:cs="Calibri"/>
                <w:color w:val="000000"/>
                <w:sz w:val="20"/>
                <w:szCs w:val="20"/>
              </w:rPr>
            </w:pPr>
            <w:r w:rsidRPr="00887B8D">
              <w:rPr>
                <w:rFonts w:ascii="Verdana" w:hAnsi="Verdana" w:cs="Calibri"/>
                <w:color w:val="000000"/>
                <w:sz w:val="20"/>
                <w:szCs w:val="20"/>
              </w:rPr>
              <w:t>64.5</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1C0580F0" w14:textId="77777777" w:rsidR="00F00A5C" w:rsidRPr="00887B8D" w:rsidRDefault="00F00A5C" w:rsidP="00F00A5C">
            <w:pPr>
              <w:tabs>
                <w:tab w:val="decimal" w:pos="540"/>
              </w:tabs>
              <w:spacing w:after="0" w:line="240" w:lineRule="auto"/>
              <w:rPr>
                <w:rFonts w:ascii="Verdana" w:hAnsi="Verdana" w:cs="Calibri"/>
                <w:color w:val="000000"/>
                <w:sz w:val="20"/>
                <w:szCs w:val="20"/>
              </w:rPr>
            </w:pPr>
            <w:r w:rsidRPr="00887B8D">
              <w:rPr>
                <w:rFonts w:ascii="Verdana" w:hAnsi="Verdana" w:cs="Calibri"/>
                <w:color w:val="000000"/>
                <w:sz w:val="20"/>
                <w:szCs w:val="20"/>
              </w:rPr>
              <w:t>64.8</w:t>
            </w:r>
          </w:p>
        </w:tc>
      </w:tr>
      <w:tr w:rsidR="00F00A5C" w:rsidRPr="00887B8D" w14:paraId="25BA9182" w14:textId="77777777" w:rsidTr="004D6433">
        <w:trPr>
          <w:jc w:val="center"/>
        </w:trPr>
        <w:tc>
          <w:tcPr>
            <w:tcW w:w="223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5012C02" w14:textId="77777777" w:rsidR="00F00A5C" w:rsidRPr="00887B8D" w:rsidRDefault="00F00A5C" w:rsidP="00F00A5C">
            <w:pPr>
              <w:spacing w:after="0" w:line="240" w:lineRule="auto"/>
              <w:jc w:val="right"/>
              <w:rPr>
                <w:rFonts w:ascii="Verdana" w:eastAsia="Times New Roman" w:hAnsi="Verdana" w:cs="Arial"/>
                <w:color w:val="000000"/>
                <w:sz w:val="20"/>
                <w:szCs w:val="20"/>
                <w:lang w:eastAsia="en-GB"/>
              </w:rPr>
            </w:pPr>
            <w:r w:rsidRPr="00887B8D">
              <w:rPr>
                <w:rFonts w:ascii="Verdana" w:eastAsia="Times New Roman" w:hAnsi="Verdana" w:cs="Arial"/>
                <w:color w:val="000000"/>
                <w:sz w:val="20"/>
                <w:szCs w:val="20"/>
                <w:lang w:eastAsia="en-GB"/>
              </w:rPr>
              <w:t>Aged 65+</w:t>
            </w:r>
          </w:p>
        </w:tc>
        <w:tc>
          <w:tcPr>
            <w:tcW w:w="1340" w:type="dxa"/>
            <w:tcBorders>
              <w:top w:val="single" w:sz="4" w:space="0" w:color="auto"/>
              <w:left w:val="nil"/>
              <w:bottom w:val="single" w:sz="4" w:space="0" w:color="auto"/>
              <w:right w:val="nil"/>
            </w:tcBorders>
            <w:shd w:val="clear" w:color="auto" w:fill="auto"/>
            <w:noWrap/>
            <w:vAlign w:val="bottom"/>
          </w:tcPr>
          <w:p w14:paraId="59021B25" w14:textId="77777777" w:rsidR="00F00A5C" w:rsidRPr="00F00A5C" w:rsidRDefault="00F00A5C" w:rsidP="00F00A5C">
            <w:pPr>
              <w:tabs>
                <w:tab w:val="decimal" w:pos="851"/>
              </w:tabs>
              <w:spacing w:after="0" w:line="240" w:lineRule="auto"/>
              <w:rPr>
                <w:rFonts w:ascii="Verdana" w:hAnsi="Verdana" w:cs="Calibri"/>
                <w:color w:val="000000"/>
                <w:sz w:val="20"/>
                <w:szCs w:val="20"/>
              </w:rPr>
            </w:pPr>
            <w:r w:rsidRPr="00F00A5C">
              <w:rPr>
                <w:rFonts w:ascii="Verdana" w:hAnsi="Verdana" w:cs="Calibri"/>
                <w:color w:val="000000"/>
                <w:sz w:val="20"/>
                <w:szCs w:val="20"/>
              </w:rPr>
              <w:t>406</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14:paraId="40D85327" w14:textId="77777777" w:rsidR="00F00A5C" w:rsidRPr="00F00A5C" w:rsidRDefault="00F00A5C" w:rsidP="00F00A5C">
            <w:pPr>
              <w:tabs>
                <w:tab w:val="decimal" w:pos="499"/>
              </w:tabs>
              <w:spacing w:after="0" w:line="240" w:lineRule="auto"/>
              <w:rPr>
                <w:rFonts w:ascii="Verdana" w:hAnsi="Verdana" w:cs="Calibri"/>
                <w:color w:val="000000"/>
                <w:sz w:val="20"/>
                <w:szCs w:val="20"/>
              </w:rPr>
            </w:pPr>
            <w:r w:rsidRPr="00F00A5C">
              <w:rPr>
                <w:rFonts w:ascii="Verdana" w:hAnsi="Verdana" w:cs="Calibri"/>
                <w:color w:val="000000"/>
                <w:sz w:val="20"/>
                <w:szCs w:val="20"/>
              </w:rPr>
              <w:t>28.0</w:t>
            </w:r>
          </w:p>
        </w:tc>
        <w:tc>
          <w:tcPr>
            <w:tcW w:w="1774" w:type="dxa"/>
            <w:tcBorders>
              <w:top w:val="single" w:sz="4" w:space="0" w:color="auto"/>
              <w:left w:val="nil"/>
              <w:bottom w:val="single" w:sz="4" w:space="0" w:color="auto"/>
              <w:right w:val="single" w:sz="8" w:space="0" w:color="auto"/>
            </w:tcBorders>
            <w:shd w:val="clear" w:color="auto" w:fill="auto"/>
            <w:noWrap/>
            <w:vAlign w:val="bottom"/>
          </w:tcPr>
          <w:p w14:paraId="45FACA8C" w14:textId="77777777" w:rsidR="00F00A5C" w:rsidRPr="00F00A5C" w:rsidRDefault="00F00A5C" w:rsidP="00F00A5C">
            <w:pPr>
              <w:tabs>
                <w:tab w:val="decimal" w:pos="810"/>
              </w:tabs>
              <w:spacing w:after="0" w:line="240" w:lineRule="auto"/>
              <w:rPr>
                <w:rFonts w:ascii="Verdana" w:hAnsi="Verdana" w:cs="Calibri"/>
                <w:color w:val="000000"/>
                <w:sz w:val="20"/>
                <w:szCs w:val="20"/>
              </w:rPr>
            </w:pPr>
            <w:r w:rsidRPr="00F00A5C">
              <w:rPr>
                <w:rFonts w:ascii="Verdana" w:hAnsi="Verdana" w:cs="Calibri"/>
                <w:color w:val="000000"/>
                <w:sz w:val="20"/>
                <w:szCs w:val="20"/>
              </w:rPr>
              <w:t>17.4</w:t>
            </w:r>
          </w:p>
        </w:tc>
        <w:tc>
          <w:tcPr>
            <w:tcW w:w="1460" w:type="dxa"/>
            <w:tcBorders>
              <w:top w:val="single" w:sz="4" w:space="0" w:color="auto"/>
              <w:left w:val="nil"/>
              <w:bottom w:val="single" w:sz="4" w:space="0" w:color="auto"/>
              <w:right w:val="nil"/>
            </w:tcBorders>
            <w:shd w:val="clear" w:color="auto" w:fill="auto"/>
            <w:noWrap/>
            <w:vAlign w:val="center"/>
          </w:tcPr>
          <w:p w14:paraId="41392C5C" w14:textId="77777777" w:rsidR="00F00A5C" w:rsidRPr="00887B8D" w:rsidRDefault="00F00A5C" w:rsidP="00F00A5C">
            <w:pPr>
              <w:tabs>
                <w:tab w:val="decimal" w:pos="606"/>
              </w:tabs>
              <w:spacing w:after="0" w:line="240" w:lineRule="auto"/>
              <w:rPr>
                <w:rFonts w:ascii="Verdana" w:hAnsi="Verdana" w:cs="Calibri"/>
                <w:color w:val="000000"/>
                <w:sz w:val="20"/>
                <w:szCs w:val="20"/>
              </w:rPr>
            </w:pPr>
            <w:r w:rsidRPr="00887B8D">
              <w:rPr>
                <w:rFonts w:ascii="Verdana" w:hAnsi="Verdana" w:cs="Calibri"/>
                <w:color w:val="000000"/>
                <w:sz w:val="20"/>
                <w:szCs w:val="20"/>
              </w:rPr>
              <w:t>17.1</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4967948C" w14:textId="77777777" w:rsidR="00F00A5C" w:rsidRPr="00887B8D" w:rsidRDefault="00F00A5C" w:rsidP="00F00A5C">
            <w:pPr>
              <w:tabs>
                <w:tab w:val="decimal" w:pos="540"/>
              </w:tabs>
              <w:spacing w:after="0" w:line="240" w:lineRule="auto"/>
              <w:rPr>
                <w:rFonts w:ascii="Verdana" w:hAnsi="Verdana" w:cs="Calibri"/>
                <w:color w:val="000000"/>
                <w:sz w:val="20"/>
                <w:szCs w:val="20"/>
              </w:rPr>
            </w:pPr>
            <w:r w:rsidRPr="00887B8D">
              <w:rPr>
                <w:rFonts w:ascii="Verdana" w:hAnsi="Verdana" w:cs="Calibri"/>
                <w:color w:val="000000"/>
                <w:sz w:val="20"/>
                <w:szCs w:val="20"/>
              </w:rPr>
              <w:t>16.3</w:t>
            </w:r>
          </w:p>
        </w:tc>
      </w:tr>
      <w:tr w:rsidR="00F00A5C" w:rsidRPr="00887B8D" w14:paraId="5E9907A5" w14:textId="77777777" w:rsidTr="004D6433">
        <w:trPr>
          <w:jc w:val="center"/>
        </w:trPr>
        <w:tc>
          <w:tcPr>
            <w:tcW w:w="223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16CE91E" w14:textId="77777777" w:rsidR="00F00A5C" w:rsidRPr="00887B8D" w:rsidRDefault="00F00A5C" w:rsidP="00F00A5C">
            <w:pPr>
              <w:spacing w:after="0" w:line="240" w:lineRule="auto"/>
              <w:jc w:val="right"/>
              <w:rPr>
                <w:rFonts w:ascii="Verdana" w:eastAsia="Times New Roman" w:hAnsi="Verdana" w:cs="Arial"/>
                <w:color w:val="000000"/>
                <w:sz w:val="20"/>
                <w:szCs w:val="20"/>
                <w:lang w:eastAsia="en-GB"/>
              </w:rPr>
            </w:pPr>
            <w:r w:rsidRPr="00887B8D">
              <w:rPr>
                <w:rFonts w:ascii="Verdana" w:eastAsia="Times New Roman" w:hAnsi="Verdana" w:cs="Arial"/>
                <w:color w:val="000000"/>
                <w:sz w:val="20"/>
                <w:szCs w:val="20"/>
                <w:lang w:eastAsia="en-GB"/>
              </w:rPr>
              <w:t>All Usual Residents</w:t>
            </w:r>
          </w:p>
        </w:tc>
        <w:tc>
          <w:tcPr>
            <w:tcW w:w="1340" w:type="dxa"/>
            <w:tcBorders>
              <w:top w:val="single" w:sz="4" w:space="0" w:color="auto"/>
              <w:left w:val="nil"/>
              <w:bottom w:val="single" w:sz="4" w:space="0" w:color="auto"/>
              <w:right w:val="nil"/>
            </w:tcBorders>
            <w:shd w:val="clear" w:color="auto" w:fill="auto"/>
            <w:noWrap/>
            <w:vAlign w:val="bottom"/>
          </w:tcPr>
          <w:p w14:paraId="4A37E2EA" w14:textId="77777777" w:rsidR="00F00A5C" w:rsidRPr="00F00A5C" w:rsidRDefault="00F00A5C" w:rsidP="00F00A5C">
            <w:pPr>
              <w:tabs>
                <w:tab w:val="decimal" w:pos="851"/>
              </w:tabs>
              <w:spacing w:after="0" w:line="240" w:lineRule="auto"/>
              <w:rPr>
                <w:rFonts w:ascii="Verdana" w:hAnsi="Verdana" w:cs="Calibri"/>
                <w:color w:val="000000"/>
                <w:sz w:val="20"/>
                <w:szCs w:val="20"/>
              </w:rPr>
            </w:pPr>
            <w:r w:rsidRPr="00F00A5C">
              <w:rPr>
                <w:rFonts w:ascii="Verdana" w:hAnsi="Verdana" w:cs="Calibri"/>
                <w:color w:val="000000"/>
                <w:sz w:val="20"/>
                <w:szCs w:val="20"/>
              </w:rPr>
              <w:t>1,450</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14:paraId="5D08FBA1" w14:textId="77777777" w:rsidR="00F00A5C" w:rsidRPr="00F00A5C" w:rsidRDefault="00F00A5C" w:rsidP="00F00A5C">
            <w:pPr>
              <w:tabs>
                <w:tab w:val="decimal" w:pos="499"/>
              </w:tabs>
              <w:spacing w:after="0" w:line="240" w:lineRule="auto"/>
              <w:rPr>
                <w:rFonts w:ascii="Verdana" w:hAnsi="Verdana" w:cs="Calibri"/>
                <w:color w:val="000000"/>
                <w:sz w:val="20"/>
                <w:szCs w:val="20"/>
              </w:rPr>
            </w:pPr>
            <w:r w:rsidRPr="00F00A5C">
              <w:rPr>
                <w:rFonts w:ascii="Verdana" w:hAnsi="Verdana" w:cs="Calibri"/>
                <w:color w:val="000000"/>
                <w:sz w:val="20"/>
                <w:szCs w:val="20"/>
              </w:rPr>
              <w:t>100.0</w:t>
            </w:r>
          </w:p>
        </w:tc>
        <w:tc>
          <w:tcPr>
            <w:tcW w:w="1774" w:type="dxa"/>
            <w:tcBorders>
              <w:top w:val="single" w:sz="4" w:space="0" w:color="auto"/>
              <w:left w:val="nil"/>
              <w:bottom w:val="single" w:sz="4" w:space="0" w:color="auto"/>
              <w:right w:val="single" w:sz="8" w:space="0" w:color="auto"/>
            </w:tcBorders>
            <w:shd w:val="clear" w:color="auto" w:fill="auto"/>
            <w:noWrap/>
            <w:vAlign w:val="bottom"/>
          </w:tcPr>
          <w:p w14:paraId="3CAA45E0" w14:textId="77777777" w:rsidR="00F00A5C" w:rsidRPr="00F00A5C" w:rsidRDefault="00F00A5C" w:rsidP="00F00A5C">
            <w:pPr>
              <w:tabs>
                <w:tab w:val="decimal" w:pos="810"/>
              </w:tabs>
              <w:spacing w:after="0" w:line="240" w:lineRule="auto"/>
              <w:rPr>
                <w:rFonts w:ascii="Verdana" w:hAnsi="Verdana" w:cs="Calibri"/>
                <w:color w:val="000000"/>
                <w:sz w:val="20"/>
                <w:szCs w:val="20"/>
              </w:rPr>
            </w:pPr>
            <w:r w:rsidRPr="00F00A5C">
              <w:rPr>
                <w:rFonts w:ascii="Verdana" w:hAnsi="Verdana" w:cs="Calibri"/>
                <w:color w:val="000000"/>
                <w:sz w:val="20"/>
                <w:szCs w:val="20"/>
              </w:rPr>
              <w:t>100.0</w:t>
            </w:r>
          </w:p>
        </w:tc>
        <w:tc>
          <w:tcPr>
            <w:tcW w:w="1460" w:type="dxa"/>
            <w:tcBorders>
              <w:top w:val="single" w:sz="4" w:space="0" w:color="auto"/>
              <w:left w:val="nil"/>
              <w:bottom w:val="single" w:sz="4" w:space="0" w:color="auto"/>
              <w:right w:val="nil"/>
            </w:tcBorders>
            <w:shd w:val="clear" w:color="auto" w:fill="auto"/>
            <w:noWrap/>
            <w:vAlign w:val="center"/>
          </w:tcPr>
          <w:p w14:paraId="6B477BE9" w14:textId="77777777" w:rsidR="00F00A5C" w:rsidRPr="00887B8D" w:rsidRDefault="00F00A5C" w:rsidP="00F00A5C">
            <w:pPr>
              <w:tabs>
                <w:tab w:val="decimal" w:pos="606"/>
              </w:tabs>
              <w:spacing w:after="0" w:line="240" w:lineRule="auto"/>
              <w:rPr>
                <w:rFonts w:ascii="Verdana" w:hAnsi="Verdana" w:cs="Calibri"/>
                <w:color w:val="000000"/>
                <w:sz w:val="20"/>
                <w:szCs w:val="20"/>
              </w:rPr>
            </w:pPr>
            <w:r w:rsidRPr="00887B8D">
              <w:rPr>
                <w:rFonts w:ascii="Verdana" w:hAnsi="Verdana" w:cs="Calibri"/>
                <w:color w:val="000000"/>
                <w:sz w:val="20"/>
                <w:szCs w:val="20"/>
              </w:rPr>
              <w:t>100.0</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30699C2C" w14:textId="77777777" w:rsidR="00F00A5C" w:rsidRPr="00887B8D" w:rsidRDefault="00F00A5C" w:rsidP="00F00A5C">
            <w:pPr>
              <w:tabs>
                <w:tab w:val="decimal" w:pos="540"/>
              </w:tabs>
              <w:spacing w:after="0" w:line="240" w:lineRule="auto"/>
              <w:rPr>
                <w:rFonts w:ascii="Verdana" w:hAnsi="Verdana" w:cs="Calibri"/>
                <w:color w:val="000000"/>
                <w:sz w:val="20"/>
                <w:szCs w:val="20"/>
              </w:rPr>
            </w:pPr>
            <w:r w:rsidRPr="00887B8D">
              <w:rPr>
                <w:rFonts w:ascii="Verdana" w:hAnsi="Verdana" w:cs="Calibri"/>
                <w:color w:val="000000"/>
                <w:sz w:val="20"/>
                <w:szCs w:val="20"/>
              </w:rPr>
              <w:t>100.0</w:t>
            </w:r>
          </w:p>
        </w:tc>
      </w:tr>
      <w:tr w:rsidR="00731E40" w:rsidRPr="00F37FDE" w14:paraId="23A61401" w14:textId="77777777" w:rsidTr="00887B8D">
        <w:trPr>
          <w:jc w:val="center"/>
        </w:trPr>
        <w:tc>
          <w:tcPr>
            <w:tcW w:w="223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FC71F9B" w14:textId="77777777" w:rsidR="00731E40" w:rsidRPr="00887B8D" w:rsidRDefault="00731E40" w:rsidP="00CF7474">
            <w:pPr>
              <w:spacing w:after="0" w:line="240" w:lineRule="auto"/>
              <w:jc w:val="right"/>
              <w:rPr>
                <w:rFonts w:ascii="Verdana" w:eastAsia="Times New Roman" w:hAnsi="Verdana" w:cs="Arial"/>
                <w:color w:val="000000"/>
                <w:sz w:val="20"/>
                <w:szCs w:val="20"/>
                <w:lang w:eastAsia="en-GB"/>
              </w:rPr>
            </w:pPr>
            <w:r w:rsidRPr="00887B8D">
              <w:rPr>
                <w:rFonts w:ascii="Verdana" w:eastAsia="Times New Roman" w:hAnsi="Verdana" w:cs="Arial"/>
                <w:color w:val="000000"/>
                <w:sz w:val="20"/>
                <w:szCs w:val="20"/>
                <w:lang w:eastAsia="en-GB"/>
              </w:rPr>
              <w:t>Median age</w:t>
            </w:r>
          </w:p>
        </w:tc>
        <w:tc>
          <w:tcPr>
            <w:tcW w:w="2583" w:type="dxa"/>
            <w:gridSpan w:val="2"/>
            <w:tcBorders>
              <w:top w:val="single" w:sz="4" w:space="0" w:color="auto"/>
              <w:left w:val="nil"/>
              <w:bottom w:val="single" w:sz="4" w:space="0" w:color="auto"/>
              <w:right w:val="single" w:sz="8" w:space="0" w:color="auto"/>
            </w:tcBorders>
            <w:shd w:val="clear" w:color="auto" w:fill="auto"/>
            <w:noWrap/>
            <w:vAlign w:val="center"/>
          </w:tcPr>
          <w:p w14:paraId="05144EE9" w14:textId="77777777" w:rsidR="00731E40" w:rsidRPr="00F00A5C" w:rsidRDefault="00F00A5C" w:rsidP="008B5A87">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54</w:t>
            </w:r>
          </w:p>
        </w:tc>
        <w:tc>
          <w:tcPr>
            <w:tcW w:w="1774" w:type="dxa"/>
            <w:tcBorders>
              <w:top w:val="single" w:sz="4" w:space="0" w:color="auto"/>
              <w:left w:val="nil"/>
              <w:bottom w:val="single" w:sz="4" w:space="0" w:color="auto"/>
              <w:right w:val="single" w:sz="8" w:space="0" w:color="auto"/>
            </w:tcBorders>
            <w:shd w:val="clear" w:color="auto" w:fill="auto"/>
            <w:noWrap/>
            <w:vAlign w:val="center"/>
          </w:tcPr>
          <w:p w14:paraId="7723ECB3" w14:textId="77777777" w:rsidR="00731E40" w:rsidRPr="00887B8D" w:rsidRDefault="00F00A5C" w:rsidP="008B5A87">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42</w:t>
            </w:r>
          </w:p>
        </w:tc>
        <w:tc>
          <w:tcPr>
            <w:tcW w:w="1460" w:type="dxa"/>
            <w:tcBorders>
              <w:top w:val="single" w:sz="4" w:space="0" w:color="auto"/>
              <w:left w:val="nil"/>
              <w:bottom w:val="single" w:sz="4" w:space="0" w:color="auto"/>
              <w:right w:val="nil"/>
            </w:tcBorders>
            <w:shd w:val="clear" w:color="auto" w:fill="auto"/>
            <w:noWrap/>
            <w:vAlign w:val="center"/>
          </w:tcPr>
          <w:p w14:paraId="383C87BD" w14:textId="77777777" w:rsidR="00731E40" w:rsidRPr="00887B8D" w:rsidRDefault="00E27488" w:rsidP="008B5A87">
            <w:pPr>
              <w:spacing w:after="0" w:line="240" w:lineRule="auto"/>
              <w:jc w:val="center"/>
              <w:rPr>
                <w:rFonts w:ascii="Verdana" w:eastAsia="Times New Roman" w:hAnsi="Verdana" w:cs="Arial"/>
                <w:color w:val="000000"/>
                <w:sz w:val="20"/>
                <w:szCs w:val="20"/>
                <w:lang w:eastAsia="en-GB"/>
              </w:rPr>
            </w:pPr>
            <w:r w:rsidRPr="00887B8D">
              <w:rPr>
                <w:rFonts w:ascii="Verdana" w:eastAsia="Times New Roman" w:hAnsi="Verdana" w:cs="Arial"/>
                <w:color w:val="000000"/>
                <w:sz w:val="20"/>
                <w:szCs w:val="20"/>
                <w:lang w:eastAsia="en-GB"/>
              </w:rPr>
              <w:t>40</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0530291E" w14:textId="77777777" w:rsidR="00731E40" w:rsidRPr="00F37FDE" w:rsidRDefault="004043DC" w:rsidP="008B5A87">
            <w:pPr>
              <w:spacing w:after="0" w:line="240" w:lineRule="auto"/>
              <w:jc w:val="center"/>
              <w:rPr>
                <w:rFonts w:ascii="Verdana" w:eastAsia="Times New Roman" w:hAnsi="Verdana" w:cs="Arial"/>
                <w:color w:val="000000"/>
                <w:sz w:val="20"/>
                <w:szCs w:val="20"/>
                <w:lang w:eastAsia="en-GB"/>
              </w:rPr>
            </w:pPr>
            <w:r w:rsidRPr="00887B8D">
              <w:rPr>
                <w:rFonts w:ascii="Verdana" w:eastAsia="Times New Roman" w:hAnsi="Verdana" w:cs="Arial"/>
                <w:color w:val="000000"/>
                <w:sz w:val="20"/>
                <w:szCs w:val="20"/>
                <w:lang w:eastAsia="en-GB"/>
              </w:rPr>
              <w:t>39</w:t>
            </w:r>
          </w:p>
        </w:tc>
      </w:tr>
    </w:tbl>
    <w:p w14:paraId="355A355E" w14:textId="77777777" w:rsidR="00826D62" w:rsidRDefault="00826D62" w:rsidP="00A215FC">
      <w:pPr>
        <w:pStyle w:val="NoSpacing"/>
        <w:spacing w:before="120"/>
        <w:jc w:val="center"/>
        <w:rPr>
          <w:rFonts w:ascii="Verdana" w:hAnsi="Verdana" w:cs="Arial"/>
          <w:i/>
          <w:sz w:val="20"/>
          <w:szCs w:val="24"/>
        </w:rPr>
      </w:pPr>
      <w:r w:rsidRPr="00F37FDE">
        <w:rPr>
          <w:rFonts w:ascii="Verdana" w:hAnsi="Verdana" w:cs="Arial"/>
          <w:i/>
          <w:sz w:val="20"/>
          <w:szCs w:val="24"/>
        </w:rPr>
        <w:t xml:space="preserve">Source: Census 2011, </w:t>
      </w:r>
      <w:r w:rsidR="00E85A2C" w:rsidRPr="00F37FDE">
        <w:rPr>
          <w:rFonts w:ascii="Verdana" w:hAnsi="Verdana" w:cs="Arial"/>
          <w:i/>
          <w:sz w:val="20"/>
          <w:szCs w:val="24"/>
        </w:rPr>
        <w:t>KS102</w:t>
      </w:r>
    </w:p>
    <w:p w14:paraId="60BE2A2B" w14:textId="77777777" w:rsidR="00CF7474" w:rsidRPr="00F37FDE" w:rsidRDefault="00CF7474" w:rsidP="00A215FC">
      <w:pPr>
        <w:pStyle w:val="NoSpacing"/>
        <w:spacing w:before="120"/>
        <w:jc w:val="center"/>
        <w:rPr>
          <w:rFonts w:ascii="Verdana" w:hAnsi="Verdana" w:cs="Arial"/>
          <w:i/>
          <w:sz w:val="20"/>
          <w:szCs w:val="24"/>
        </w:rPr>
      </w:pPr>
    </w:p>
    <w:p w14:paraId="7A649759" w14:textId="77777777" w:rsidR="00AC2E68" w:rsidRDefault="00822677" w:rsidP="00272152">
      <w:pPr>
        <w:pStyle w:val="NoSpacing"/>
        <w:jc w:val="both"/>
        <w:rPr>
          <w:rFonts w:ascii="Verdana" w:hAnsi="Verdana" w:cs="Arial"/>
          <w:sz w:val="24"/>
          <w:szCs w:val="24"/>
        </w:rPr>
      </w:pPr>
      <w:r w:rsidRPr="00272152">
        <w:rPr>
          <w:rFonts w:ascii="Verdana" w:hAnsi="Verdana" w:cs="Arial"/>
          <w:sz w:val="24"/>
          <w:szCs w:val="24"/>
        </w:rPr>
        <w:t>A more detaile</w:t>
      </w:r>
      <w:r w:rsidR="005C1A7E">
        <w:rPr>
          <w:rFonts w:ascii="Verdana" w:hAnsi="Verdana" w:cs="Arial"/>
          <w:sz w:val="24"/>
          <w:szCs w:val="24"/>
        </w:rPr>
        <w:t>d breakdown of age bands reveal</w:t>
      </w:r>
      <w:r w:rsidR="00887B8D">
        <w:rPr>
          <w:rFonts w:ascii="Verdana" w:hAnsi="Verdana" w:cs="Arial"/>
          <w:sz w:val="24"/>
          <w:szCs w:val="24"/>
        </w:rPr>
        <w:t>s</w:t>
      </w:r>
      <w:r w:rsidR="00086937" w:rsidRPr="00272152">
        <w:rPr>
          <w:rFonts w:ascii="Verdana" w:hAnsi="Verdana" w:cs="Arial"/>
          <w:sz w:val="24"/>
          <w:szCs w:val="24"/>
        </w:rPr>
        <w:t xml:space="preserve"> </w:t>
      </w:r>
      <w:r w:rsidR="009F433A" w:rsidRPr="00272152">
        <w:rPr>
          <w:rFonts w:ascii="Verdana" w:hAnsi="Verdana" w:cs="Arial"/>
          <w:sz w:val="24"/>
          <w:szCs w:val="24"/>
        </w:rPr>
        <w:t xml:space="preserve">that </w:t>
      </w:r>
      <w:r w:rsidR="00B05248">
        <w:rPr>
          <w:rFonts w:ascii="Verdana" w:hAnsi="Verdana" w:cs="Arial"/>
          <w:sz w:val="24"/>
          <w:szCs w:val="24"/>
        </w:rPr>
        <w:t>at the time of the 2011 Census</w:t>
      </w:r>
      <w:r w:rsidR="007E71F0">
        <w:rPr>
          <w:rFonts w:ascii="Verdana" w:hAnsi="Verdana" w:cs="Arial"/>
          <w:sz w:val="24"/>
          <w:szCs w:val="24"/>
        </w:rPr>
        <w:t>,</w:t>
      </w:r>
      <w:r w:rsidR="00B05248">
        <w:rPr>
          <w:rFonts w:ascii="Verdana" w:hAnsi="Verdana" w:cs="Arial"/>
          <w:sz w:val="24"/>
          <w:szCs w:val="24"/>
        </w:rPr>
        <w:t xml:space="preserve"> </w:t>
      </w:r>
      <w:r w:rsidR="00F64A4F">
        <w:rPr>
          <w:rFonts w:ascii="Verdana" w:hAnsi="Verdana" w:cs="Arial"/>
          <w:sz w:val="24"/>
          <w:szCs w:val="24"/>
        </w:rPr>
        <w:t>Blackfordby</w:t>
      </w:r>
      <w:r w:rsidR="00BE3E0E" w:rsidRPr="00272152">
        <w:rPr>
          <w:rFonts w:ascii="Verdana" w:hAnsi="Verdana" w:cs="Arial"/>
          <w:sz w:val="24"/>
          <w:szCs w:val="24"/>
        </w:rPr>
        <w:t xml:space="preserve"> </w:t>
      </w:r>
      <w:r w:rsidR="00B05248">
        <w:rPr>
          <w:rFonts w:ascii="Verdana" w:hAnsi="Verdana" w:cs="Arial"/>
          <w:sz w:val="24"/>
          <w:szCs w:val="24"/>
        </w:rPr>
        <w:t>had</w:t>
      </w:r>
      <w:r w:rsidR="00AC2E68">
        <w:rPr>
          <w:rFonts w:ascii="Verdana" w:hAnsi="Verdana" w:cs="Arial"/>
          <w:sz w:val="24"/>
          <w:szCs w:val="24"/>
        </w:rPr>
        <w:t xml:space="preserve"> a</w:t>
      </w:r>
      <w:r w:rsidR="00B05248">
        <w:rPr>
          <w:rFonts w:ascii="Verdana" w:hAnsi="Verdana" w:cs="Arial"/>
          <w:sz w:val="24"/>
          <w:szCs w:val="24"/>
        </w:rPr>
        <w:t xml:space="preserve"> </w:t>
      </w:r>
      <w:r w:rsidR="000F5D53">
        <w:rPr>
          <w:rFonts w:ascii="Verdana" w:hAnsi="Verdana" w:cs="Arial"/>
          <w:sz w:val="24"/>
          <w:szCs w:val="24"/>
        </w:rPr>
        <w:t xml:space="preserve">particularly </w:t>
      </w:r>
      <w:r w:rsidR="00621511">
        <w:rPr>
          <w:rFonts w:ascii="Verdana" w:hAnsi="Verdana" w:cs="Arial"/>
          <w:sz w:val="24"/>
          <w:szCs w:val="24"/>
        </w:rPr>
        <w:t>high representation</w:t>
      </w:r>
      <w:r w:rsidR="00AC2E68">
        <w:rPr>
          <w:rFonts w:ascii="Verdana" w:hAnsi="Verdana" w:cs="Arial"/>
          <w:sz w:val="24"/>
          <w:szCs w:val="24"/>
        </w:rPr>
        <w:t xml:space="preserve"> of </w:t>
      </w:r>
      <w:r w:rsidR="00B05248">
        <w:rPr>
          <w:rFonts w:ascii="Verdana" w:hAnsi="Verdana" w:cs="Arial"/>
          <w:sz w:val="24"/>
          <w:szCs w:val="24"/>
        </w:rPr>
        <w:t xml:space="preserve">residents aged </w:t>
      </w:r>
      <w:r w:rsidR="00A61BD4">
        <w:rPr>
          <w:rFonts w:ascii="Verdana" w:hAnsi="Verdana" w:cs="Arial"/>
          <w:sz w:val="24"/>
          <w:szCs w:val="24"/>
        </w:rPr>
        <w:t>60</w:t>
      </w:r>
      <w:r w:rsidR="005651F3">
        <w:rPr>
          <w:rFonts w:ascii="Verdana" w:hAnsi="Verdana" w:cs="Arial"/>
          <w:sz w:val="24"/>
          <w:szCs w:val="24"/>
        </w:rPr>
        <w:t xml:space="preserve"> to </w:t>
      </w:r>
      <w:r w:rsidR="00A61BD4">
        <w:rPr>
          <w:rFonts w:ascii="Verdana" w:hAnsi="Verdana" w:cs="Arial"/>
          <w:sz w:val="24"/>
          <w:szCs w:val="24"/>
        </w:rPr>
        <w:t>7</w:t>
      </w:r>
      <w:r w:rsidR="005651F3">
        <w:rPr>
          <w:rFonts w:ascii="Verdana" w:hAnsi="Verdana" w:cs="Arial"/>
          <w:sz w:val="24"/>
          <w:szCs w:val="24"/>
        </w:rPr>
        <w:t>9 when compared with the national average</w:t>
      </w:r>
      <w:r w:rsidR="007E71F0">
        <w:rPr>
          <w:rFonts w:ascii="Verdana" w:hAnsi="Verdana" w:cs="Arial"/>
          <w:sz w:val="24"/>
          <w:szCs w:val="24"/>
        </w:rPr>
        <w:t>.</w:t>
      </w:r>
      <w:r w:rsidR="005651F3">
        <w:rPr>
          <w:rFonts w:ascii="Verdana" w:hAnsi="Verdana" w:cs="Arial"/>
          <w:sz w:val="24"/>
          <w:szCs w:val="24"/>
        </w:rPr>
        <w:t xml:space="preserve"> It has </w:t>
      </w:r>
      <w:r w:rsidR="005651F3">
        <w:rPr>
          <w:rFonts w:ascii="Verdana" w:hAnsi="Verdana" w:cs="Arial"/>
          <w:sz w:val="24"/>
          <w:szCs w:val="24"/>
        </w:rPr>
        <w:lastRenderedPageBreak/>
        <w:t xml:space="preserve">a lower </w:t>
      </w:r>
      <w:r w:rsidR="00621511">
        <w:rPr>
          <w:rFonts w:ascii="Verdana" w:hAnsi="Verdana" w:cs="Arial"/>
          <w:sz w:val="24"/>
          <w:szCs w:val="24"/>
        </w:rPr>
        <w:t>share</w:t>
      </w:r>
      <w:r w:rsidR="005651F3">
        <w:rPr>
          <w:rFonts w:ascii="Verdana" w:hAnsi="Verdana" w:cs="Arial"/>
          <w:sz w:val="24"/>
          <w:szCs w:val="24"/>
        </w:rPr>
        <w:t xml:space="preserve"> of people aged been 20 and 39 which may reflect lack of affordable and </w:t>
      </w:r>
      <w:r w:rsidR="00F90D70">
        <w:rPr>
          <w:rFonts w:ascii="Verdana" w:hAnsi="Verdana" w:cs="Arial"/>
          <w:sz w:val="24"/>
          <w:szCs w:val="24"/>
        </w:rPr>
        <w:t xml:space="preserve">suitable </w:t>
      </w:r>
      <w:r w:rsidR="005651F3">
        <w:rPr>
          <w:rFonts w:ascii="Verdana" w:hAnsi="Verdana" w:cs="Arial"/>
          <w:sz w:val="24"/>
          <w:szCs w:val="24"/>
        </w:rPr>
        <w:t>accommodation for young people entering the housing market.</w:t>
      </w:r>
    </w:p>
    <w:p w14:paraId="000F2879" w14:textId="77777777" w:rsidR="00D467F7" w:rsidRPr="00F37FDE" w:rsidRDefault="00D467F7" w:rsidP="008B5A87">
      <w:pPr>
        <w:pStyle w:val="NoSpacing"/>
        <w:jc w:val="both"/>
        <w:rPr>
          <w:rFonts w:ascii="Verdana" w:hAnsi="Verdana" w:cs="Arial"/>
          <w:sz w:val="24"/>
          <w:szCs w:val="24"/>
        </w:rPr>
      </w:pPr>
    </w:p>
    <w:p w14:paraId="6090563D" w14:textId="77777777" w:rsidR="00A25FFE" w:rsidRPr="00F37FDE" w:rsidRDefault="00D53FD1" w:rsidP="00A215FC">
      <w:pPr>
        <w:pStyle w:val="Caption"/>
        <w:keepNext/>
        <w:spacing w:after="120"/>
        <w:jc w:val="center"/>
        <w:rPr>
          <w:rFonts w:ascii="Verdana" w:hAnsi="Verdana" w:cs="Arial"/>
          <w:b/>
          <w:sz w:val="22"/>
          <w:szCs w:val="24"/>
        </w:rPr>
      </w:pPr>
      <w:r w:rsidRPr="00F37FDE">
        <w:rPr>
          <w:rFonts w:ascii="Verdana" w:hAnsi="Verdana" w:cs="Arial"/>
          <w:b/>
          <w:sz w:val="22"/>
          <w:szCs w:val="24"/>
        </w:rPr>
        <w:t xml:space="preserve">Figure </w:t>
      </w:r>
      <w:r w:rsidR="00913D88">
        <w:rPr>
          <w:rFonts w:ascii="Verdana" w:hAnsi="Verdana" w:cs="Arial"/>
          <w:b/>
          <w:sz w:val="22"/>
          <w:szCs w:val="24"/>
        </w:rPr>
        <w:fldChar w:fldCharType="begin"/>
      </w:r>
      <w:r w:rsidR="00913D88">
        <w:rPr>
          <w:rFonts w:ascii="Verdana" w:hAnsi="Verdana" w:cs="Arial"/>
          <w:b/>
          <w:sz w:val="22"/>
          <w:szCs w:val="24"/>
        </w:rPr>
        <w:instrText xml:space="preserve"> SEQ Figure \* ARABIC </w:instrText>
      </w:r>
      <w:r w:rsidR="00913D88">
        <w:rPr>
          <w:rFonts w:ascii="Verdana" w:hAnsi="Verdana" w:cs="Arial"/>
          <w:b/>
          <w:sz w:val="22"/>
          <w:szCs w:val="24"/>
        </w:rPr>
        <w:fldChar w:fldCharType="separate"/>
      </w:r>
      <w:r w:rsidR="00CA4EB9">
        <w:rPr>
          <w:rFonts w:ascii="Verdana" w:hAnsi="Verdana" w:cs="Arial"/>
          <w:b/>
          <w:noProof/>
          <w:sz w:val="22"/>
          <w:szCs w:val="24"/>
        </w:rPr>
        <w:t>1</w:t>
      </w:r>
      <w:r w:rsidR="00913D88">
        <w:rPr>
          <w:rFonts w:ascii="Verdana" w:hAnsi="Verdana" w:cs="Arial"/>
          <w:b/>
          <w:sz w:val="22"/>
          <w:szCs w:val="24"/>
        </w:rPr>
        <w:fldChar w:fldCharType="end"/>
      </w:r>
      <w:r w:rsidRPr="00F37FDE">
        <w:rPr>
          <w:rFonts w:ascii="Verdana" w:hAnsi="Verdana" w:cs="Arial"/>
          <w:b/>
          <w:sz w:val="22"/>
          <w:szCs w:val="24"/>
        </w:rPr>
        <w:t xml:space="preserve"> Population by </w:t>
      </w:r>
      <w:proofErr w:type="gramStart"/>
      <w:r w:rsidRPr="00F37FDE">
        <w:rPr>
          <w:rFonts w:ascii="Verdana" w:hAnsi="Verdana" w:cs="Arial"/>
          <w:b/>
          <w:sz w:val="22"/>
          <w:szCs w:val="24"/>
        </w:rPr>
        <w:t>10 year</w:t>
      </w:r>
      <w:proofErr w:type="gramEnd"/>
      <w:r w:rsidRPr="00F37FDE">
        <w:rPr>
          <w:rFonts w:ascii="Verdana" w:hAnsi="Verdana" w:cs="Arial"/>
          <w:b/>
          <w:sz w:val="22"/>
          <w:szCs w:val="24"/>
        </w:rPr>
        <w:t xml:space="preserve"> age bands, 2011</w:t>
      </w:r>
    </w:p>
    <w:p w14:paraId="1C49496A" w14:textId="77777777" w:rsidR="000534A7" w:rsidRPr="00F37FDE" w:rsidRDefault="007E71F0" w:rsidP="008B5A87">
      <w:pPr>
        <w:spacing w:after="0" w:line="240" w:lineRule="auto"/>
        <w:jc w:val="center"/>
        <w:rPr>
          <w:rFonts w:ascii="Verdana" w:hAnsi="Verdana" w:cs="Arial"/>
          <w:sz w:val="24"/>
          <w:szCs w:val="24"/>
        </w:rPr>
      </w:pPr>
      <w:r>
        <w:rPr>
          <w:rFonts w:ascii="Verdana" w:hAnsi="Verdana" w:cs="Arial"/>
          <w:noProof/>
          <w:sz w:val="24"/>
          <w:szCs w:val="24"/>
          <w:lang w:eastAsia="en-GB"/>
        </w:rPr>
        <w:drawing>
          <wp:inline distT="0" distB="0" distL="0" distR="0" wp14:anchorId="3E73FD2D" wp14:editId="02C48995">
            <wp:extent cx="4201862" cy="251999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01862" cy="2519999"/>
                    </a:xfrm>
                    <a:prstGeom prst="rect">
                      <a:avLst/>
                    </a:prstGeom>
                    <a:noFill/>
                  </pic:spPr>
                </pic:pic>
              </a:graphicData>
            </a:graphic>
          </wp:inline>
        </w:drawing>
      </w:r>
    </w:p>
    <w:p w14:paraId="42923429" w14:textId="77777777" w:rsidR="00346649" w:rsidRDefault="00D53FD1" w:rsidP="00D53611">
      <w:pPr>
        <w:pStyle w:val="NoSpacing"/>
        <w:spacing w:before="80"/>
        <w:jc w:val="center"/>
        <w:rPr>
          <w:rFonts w:ascii="Verdana" w:hAnsi="Verdana" w:cs="Arial"/>
          <w:i/>
          <w:sz w:val="20"/>
          <w:szCs w:val="24"/>
        </w:rPr>
      </w:pPr>
      <w:r w:rsidRPr="00F37FDE">
        <w:rPr>
          <w:rFonts w:ascii="Verdana" w:hAnsi="Verdana" w:cs="Arial"/>
          <w:i/>
          <w:sz w:val="20"/>
          <w:szCs w:val="24"/>
        </w:rPr>
        <w:t>Source: Census 2011, QS103</w:t>
      </w:r>
    </w:p>
    <w:p w14:paraId="7DE7DBC3" w14:textId="77777777" w:rsidR="00D467F7" w:rsidRDefault="00D467F7" w:rsidP="0027773E">
      <w:pPr>
        <w:pStyle w:val="NoSpacing"/>
      </w:pPr>
    </w:p>
    <w:p w14:paraId="42E6C3FF" w14:textId="77777777" w:rsidR="00AC2E68" w:rsidRDefault="00AC2E68" w:rsidP="00D467F7">
      <w:pPr>
        <w:pStyle w:val="NoSpacing"/>
        <w:jc w:val="both"/>
        <w:rPr>
          <w:rFonts w:ascii="Verdana" w:hAnsi="Verdana" w:cs="Arial"/>
          <w:sz w:val="24"/>
          <w:szCs w:val="24"/>
        </w:rPr>
      </w:pPr>
      <w:r>
        <w:rPr>
          <w:rFonts w:ascii="Verdana" w:hAnsi="Verdana" w:cs="Arial"/>
          <w:sz w:val="24"/>
          <w:szCs w:val="24"/>
        </w:rPr>
        <w:t xml:space="preserve">There </w:t>
      </w:r>
      <w:r w:rsidR="00816A57">
        <w:rPr>
          <w:rFonts w:ascii="Verdana" w:hAnsi="Verdana" w:cs="Arial"/>
          <w:sz w:val="24"/>
          <w:szCs w:val="24"/>
        </w:rPr>
        <w:t xml:space="preserve">is </w:t>
      </w:r>
      <w:r w:rsidR="007E71F0">
        <w:rPr>
          <w:rFonts w:ascii="Verdana" w:hAnsi="Verdana" w:cs="Arial"/>
          <w:sz w:val="24"/>
          <w:szCs w:val="24"/>
        </w:rPr>
        <w:t xml:space="preserve">further </w:t>
      </w:r>
      <w:r w:rsidR="00816A57">
        <w:rPr>
          <w:rFonts w:ascii="Verdana" w:hAnsi="Verdana" w:cs="Arial"/>
          <w:sz w:val="24"/>
          <w:szCs w:val="24"/>
        </w:rPr>
        <w:t>evidence of</w:t>
      </w:r>
      <w:r w:rsidR="0083353F">
        <w:rPr>
          <w:rFonts w:ascii="Verdana" w:hAnsi="Verdana" w:cs="Arial"/>
          <w:sz w:val="24"/>
          <w:szCs w:val="24"/>
        </w:rPr>
        <w:t xml:space="preserve"> an ageing population</w:t>
      </w:r>
      <w:r w:rsidR="00663EFB">
        <w:rPr>
          <w:rFonts w:ascii="Verdana" w:hAnsi="Verdana" w:cs="Arial"/>
          <w:sz w:val="24"/>
          <w:szCs w:val="24"/>
        </w:rPr>
        <w:t xml:space="preserve"> </w:t>
      </w:r>
      <w:r w:rsidR="00B05248">
        <w:rPr>
          <w:rFonts w:ascii="Verdana" w:hAnsi="Verdana" w:cs="Arial"/>
          <w:sz w:val="24"/>
          <w:szCs w:val="24"/>
        </w:rPr>
        <w:t>with</w:t>
      </w:r>
      <w:r w:rsidR="00663EFB">
        <w:rPr>
          <w:rFonts w:ascii="Verdana" w:hAnsi="Verdana" w:cs="Arial"/>
          <w:sz w:val="24"/>
          <w:szCs w:val="24"/>
        </w:rPr>
        <w:t xml:space="preserve"> </w:t>
      </w:r>
      <w:r w:rsidR="00100FF9">
        <w:rPr>
          <w:rFonts w:ascii="Verdana" w:hAnsi="Verdana" w:cs="Arial"/>
          <w:sz w:val="24"/>
          <w:szCs w:val="24"/>
        </w:rPr>
        <w:t xml:space="preserve">the </w:t>
      </w:r>
      <w:r w:rsidR="00816A57">
        <w:rPr>
          <w:rFonts w:ascii="Verdana" w:hAnsi="Verdana" w:cs="Arial"/>
          <w:sz w:val="24"/>
          <w:szCs w:val="24"/>
        </w:rPr>
        <w:t>proportion</w:t>
      </w:r>
      <w:r w:rsidR="00100FF9">
        <w:rPr>
          <w:rFonts w:ascii="Verdana" w:hAnsi="Verdana" w:cs="Arial"/>
          <w:sz w:val="24"/>
          <w:szCs w:val="24"/>
        </w:rPr>
        <w:t xml:space="preserve"> of r</w:t>
      </w:r>
      <w:r w:rsidR="00816A57">
        <w:rPr>
          <w:rFonts w:ascii="Verdana" w:hAnsi="Verdana" w:cs="Arial"/>
          <w:sz w:val="24"/>
          <w:szCs w:val="24"/>
        </w:rPr>
        <w:t>esidents aged 6</w:t>
      </w:r>
      <w:r w:rsidR="00621511">
        <w:rPr>
          <w:rFonts w:ascii="Verdana" w:hAnsi="Verdana" w:cs="Arial"/>
          <w:sz w:val="24"/>
          <w:szCs w:val="24"/>
        </w:rPr>
        <w:t>5</w:t>
      </w:r>
      <w:r w:rsidR="00681679">
        <w:rPr>
          <w:rFonts w:ascii="Verdana" w:hAnsi="Verdana" w:cs="Arial"/>
          <w:sz w:val="24"/>
          <w:szCs w:val="24"/>
        </w:rPr>
        <w:t xml:space="preserve"> and over </w:t>
      </w:r>
      <w:r w:rsidR="00B05248">
        <w:rPr>
          <w:rFonts w:ascii="Verdana" w:hAnsi="Verdana" w:cs="Arial"/>
          <w:sz w:val="24"/>
          <w:szCs w:val="24"/>
        </w:rPr>
        <w:t>increasing from</w:t>
      </w:r>
      <w:r w:rsidR="00816A57">
        <w:rPr>
          <w:rFonts w:ascii="Verdana" w:hAnsi="Verdana" w:cs="Arial"/>
          <w:sz w:val="24"/>
          <w:szCs w:val="24"/>
        </w:rPr>
        <w:t xml:space="preserve"> </w:t>
      </w:r>
      <w:r w:rsidR="00621511">
        <w:rPr>
          <w:rFonts w:ascii="Verdana" w:hAnsi="Verdana" w:cs="Arial"/>
          <w:sz w:val="24"/>
          <w:szCs w:val="24"/>
        </w:rPr>
        <w:t>18</w:t>
      </w:r>
      <w:r w:rsidR="00816A57">
        <w:rPr>
          <w:rFonts w:ascii="Verdana" w:hAnsi="Verdana" w:cs="Arial"/>
          <w:sz w:val="24"/>
          <w:szCs w:val="24"/>
        </w:rPr>
        <w:t xml:space="preserve">% in 2001 to </w:t>
      </w:r>
      <w:r w:rsidR="00A61BD4">
        <w:rPr>
          <w:rFonts w:ascii="Verdana" w:hAnsi="Verdana" w:cs="Arial"/>
          <w:sz w:val="24"/>
          <w:szCs w:val="24"/>
        </w:rPr>
        <w:t>39</w:t>
      </w:r>
      <w:r w:rsidR="00816A57">
        <w:rPr>
          <w:rFonts w:ascii="Verdana" w:hAnsi="Verdana" w:cs="Arial"/>
          <w:sz w:val="24"/>
          <w:szCs w:val="24"/>
        </w:rPr>
        <w:t>% in 2011.</w:t>
      </w:r>
      <w:r>
        <w:rPr>
          <w:rFonts w:ascii="Verdana" w:hAnsi="Verdana" w:cs="Arial"/>
          <w:sz w:val="24"/>
          <w:szCs w:val="24"/>
        </w:rPr>
        <w:t xml:space="preserve"> The Census shows the number of residents aged 6</w:t>
      </w:r>
      <w:r w:rsidR="00621511">
        <w:rPr>
          <w:rFonts w:ascii="Verdana" w:hAnsi="Verdana" w:cs="Arial"/>
          <w:sz w:val="24"/>
          <w:szCs w:val="24"/>
        </w:rPr>
        <w:t>5</w:t>
      </w:r>
      <w:r>
        <w:rPr>
          <w:rFonts w:ascii="Verdana" w:hAnsi="Verdana" w:cs="Arial"/>
          <w:sz w:val="24"/>
          <w:szCs w:val="24"/>
        </w:rPr>
        <w:t xml:space="preserve">+ rose by </w:t>
      </w:r>
      <w:r w:rsidR="00621511">
        <w:rPr>
          <w:rFonts w:ascii="Verdana" w:hAnsi="Verdana" w:cs="Arial"/>
          <w:sz w:val="24"/>
          <w:szCs w:val="24"/>
        </w:rPr>
        <w:t>28</w:t>
      </w:r>
      <w:r>
        <w:rPr>
          <w:rFonts w:ascii="Verdana" w:hAnsi="Verdana" w:cs="Arial"/>
          <w:sz w:val="24"/>
          <w:szCs w:val="24"/>
        </w:rPr>
        <w:t>% (</w:t>
      </w:r>
      <w:r w:rsidR="00A61BD4">
        <w:rPr>
          <w:rFonts w:ascii="Verdana" w:hAnsi="Verdana" w:cs="Arial"/>
          <w:sz w:val="24"/>
          <w:szCs w:val="24"/>
        </w:rPr>
        <w:t>1</w:t>
      </w:r>
      <w:r w:rsidR="00621511">
        <w:rPr>
          <w:rFonts w:ascii="Verdana" w:hAnsi="Verdana" w:cs="Arial"/>
          <w:sz w:val="24"/>
          <w:szCs w:val="24"/>
        </w:rPr>
        <w:t>35</w:t>
      </w:r>
      <w:r w:rsidR="005651F3">
        <w:rPr>
          <w:rFonts w:ascii="Verdana" w:hAnsi="Verdana" w:cs="Arial"/>
          <w:sz w:val="24"/>
          <w:szCs w:val="24"/>
        </w:rPr>
        <w:t xml:space="preserve"> </w:t>
      </w:r>
      <w:r>
        <w:rPr>
          <w:rFonts w:ascii="Verdana" w:hAnsi="Verdana" w:cs="Arial"/>
          <w:sz w:val="24"/>
          <w:szCs w:val="24"/>
        </w:rPr>
        <w:t>people) during this period.</w:t>
      </w:r>
    </w:p>
    <w:p w14:paraId="29F9E6BA" w14:textId="77777777" w:rsidR="00AC2E68" w:rsidRDefault="00AC2E68" w:rsidP="00D467F7">
      <w:pPr>
        <w:pStyle w:val="NoSpacing"/>
        <w:jc w:val="both"/>
        <w:rPr>
          <w:rFonts w:ascii="Verdana" w:hAnsi="Verdana" w:cs="Arial"/>
          <w:sz w:val="24"/>
          <w:szCs w:val="24"/>
        </w:rPr>
      </w:pPr>
    </w:p>
    <w:p w14:paraId="73154648" w14:textId="77777777" w:rsidR="00D467F7" w:rsidRDefault="00D467F7" w:rsidP="00D467F7">
      <w:pPr>
        <w:pStyle w:val="NoSpacing"/>
        <w:jc w:val="both"/>
        <w:rPr>
          <w:rFonts w:ascii="Verdana" w:hAnsi="Verdana" w:cs="Arial"/>
          <w:sz w:val="24"/>
          <w:szCs w:val="24"/>
        </w:rPr>
      </w:pPr>
      <w:r>
        <w:rPr>
          <w:rFonts w:ascii="Verdana" w:hAnsi="Verdana" w:cs="Arial"/>
          <w:sz w:val="24"/>
          <w:szCs w:val="24"/>
        </w:rPr>
        <w:t>Research shows the number of older people w</w:t>
      </w:r>
      <w:r w:rsidRPr="00AA5E91">
        <w:rPr>
          <w:rFonts w:ascii="Verdana" w:hAnsi="Verdana" w:cs="Arial"/>
          <w:sz w:val="24"/>
          <w:szCs w:val="24"/>
        </w:rPr>
        <w:t>ill grow significantly in the future and relative growth wi</w:t>
      </w:r>
      <w:r w:rsidR="00C82D08">
        <w:rPr>
          <w:rFonts w:ascii="Verdana" w:hAnsi="Verdana" w:cs="Arial"/>
          <w:sz w:val="24"/>
          <w:szCs w:val="24"/>
        </w:rPr>
        <w:t xml:space="preserve">ll be highest in older cohorts. </w:t>
      </w:r>
      <w:r w:rsidRPr="00AA5E91">
        <w:rPr>
          <w:rFonts w:ascii="Verdana" w:hAnsi="Verdana" w:cs="Arial"/>
          <w:sz w:val="24"/>
          <w:szCs w:val="24"/>
        </w:rPr>
        <w:t>Latest available population projections</w:t>
      </w:r>
      <w:r w:rsidRPr="00AA5E91">
        <w:rPr>
          <w:rStyle w:val="FootnoteReference"/>
          <w:rFonts w:ascii="Verdana" w:hAnsi="Verdana" w:cs="Arial"/>
          <w:sz w:val="24"/>
          <w:szCs w:val="24"/>
        </w:rPr>
        <w:footnoteReference w:id="1"/>
      </w:r>
      <w:r w:rsidR="00C428F2">
        <w:rPr>
          <w:rFonts w:ascii="Verdana" w:hAnsi="Verdana" w:cs="Arial"/>
          <w:sz w:val="24"/>
          <w:szCs w:val="24"/>
        </w:rPr>
        <w:t xml:space="preserve"> </w:t>
      </w:r>
      <w:r w:rsidRPr="00AA5E91">
        <w:rPr>
          <w:rFonts w:ascii="Verdana" w:hAnsi="Verdana" w:cs="Arial"/>
          <w:sz w:val="24"/>
          <w:szCs w:val="24"/>
        </w:rPr>
        <w:t xml:space="preserve">suggest that </w:t>
      </w:r>
      <w:r w:rsidR="00F64A4F">
        <w:rPr>
          <w:rFonts w:ascii="Verdana" w:hAnsi="Verdana" w:cs="Arial"/>
          <w:sz w:val="24"/>
          <w:szCs w:val="24"/>
        </w:rPr>
        <w:t>NW Leic</w:t>
      </w:r>
      <w:r w:rsidR="00A61BD4">
        <w:rPr>
          <w:rFonts w:ascii="Verdana" w:hAnsi="Verdana" w:cs="Arial"/>
          <w:sz w:val="24"/>
          <w:szCs w:val="24"/>
        </w:rPr>
        <w:t>estershire</w:t>
      </w:r>
      <w:r w:rsidR="00681679">
        <w:rPr>
          <w:rFonts w:ascii="Verdana" w:hAnsi="Verdana" w:cs="Arial"/>
          <w:sz w:val="24"/>
          <w:szCs w:val="24"/>
        </w:rPr>
        <w:t>’s</w:t>
      </w:r>
      <w:r w:rsidRPr="00AA5E91">
        <w:rPr>
          <w:rFonts w:ascii="Verdana" w:hAnsi="Verdana" w:cs="Arial"/>
          <w:sz w:val="24"/>
          <w:szCs w:val="24"/>
        </w:rPr>
        <w:t xml:space="preserve"> 6</w:t>
      </w:r>
      <w:r w:rsidR="00A61BD4">
        <w:rPr>
          <w:rFonts w:ascii="Verdana" w:hAnsi="Verdana" w:cs="Arial"/>
          <w:sz w:val="24"/>
          <w:szCs w:val="24"/>
        </w:rPr>
        <w:t>5</w:t>
      </w:r>
      <w:r w:rsidRPr="00AA5E91">
        <w:rPr>
          <w:rFonts w:ascii="Verdana" w:hAnsi="Verdana" w:cs="Arial"/>
          <w:sz w:val="24"/>
          <w:szCs w:val="24"/>
        </w:rPr>
        <w:t xml:space="preserve"> plus age group is forecast to grow by </w:t>
      </w:r>
      <w:r w:rsidR="00780F9E">
        <w:rPr>
          <w:rFonts w:ascii="Verdana" w:hAnsi="Verdana" w:cs="Arial"/>
          <w:sz w:val="24"/>
          <w:szCs w:val="24"/>
        </w:rPr>
        <w:t xml:space="preserve">around </w:t>
      </w:r>
      <w:r w:rsidR="00A61BD4">
        <w:rPr>
          <w:rFonts w:ascii="Verdana" w:hAnsi="Verdana" w:cs="Arial"/>
          <w:sz w:val="24"/>
          <w:szCs w:val="24"/>
        </w:rPr>
        <w:t>55</w:t>
      </w:r>
      <w:r w:rsidR="000A5FD9">
        <w:rPr>
          <w:rFonts w:ascii="Verdana" w:hAnsi="Verdana" w:cs="Arial"/>
          <w:sz w:val="24"/>
          <w:szCs w:val="24"/>
        </w:rPr>
        <w:t>% between 2014 and 2034</w:t>
      </w:r>
      <w:r w:rsidRPr="00AA5E91">
        <w:rPr>
          <w:rFonts w:ascii="Verdana" w:hAnsi="Verdana" w:cs="Arial"/>
          <w:sz w:val="24"/>
          <w:szCs w:val="24"/>
        </w:rPr>
        <w:t xml:space="preserve">. </w:t>
      </w:r>
    </w:p>
    <w:p w14:paraId="12363AC2" w14:textId="77777777" w:rsidR="00FD2BC9" w:rsidRDefault="00FD2BC9" w:rsidP="00D467F7">
      <w:pPr>
        <w:pStyle w:val="NoSpacing"/>
        <w:jc w:val="both"/>
        <w:rPr>
          <w:rFonts w:ascii="Verdana" w:hAnsi="Verdana" w:cs="Arial"/>
          <w:sz w:val="24"/>
          <w:szCs w:val="24"/>
        </w:rPr>
      </w:pPr>
    </w:p>
    <w:p w14:paraId="4578EF08" w14:textId="77777777" w:rsidR="00FD2BC9" w:rsidRDefault="00FD2BC9" w:rsidP="00D467F7">
      <w:pPr>
        <w:pStyle w:val="NoSpacing"/>
        <w:jc w:val="both"/>
        <w:rPr>
          <w:rFonts w:ascii="Verdana" w:hAnsi="Verdana" w:cs="Arial"/>
          <w:sz w:val="24"/>
          <w:szCs w:val="24"/>
        </w:rPr>
      </w:pPr>
      <w:r>
        <w:rPr>
          <w:rFonts w:ascii="Verdana" w:hAnsi="Verdana" w:cs="Arial"/>
          <w:b/>
          <w:sz w:val="24"/>
          <w:szCs w:val="24"/>
        </w:rPr>
        <w:t>Deprivation</w:t>
      </w:r>
    </w:p>
    <w:p w14:paraId="4B76D57B" w14:textId="77777777" w:rsidR="00EA76E2" w:rsidRDefault="0022622E" w:rsidP="00EA76E2">
      <w:pPr>
        <w:pStyle w:val="NoSpacing"/>
        <w:spacing w:before="80"/>
        <w:jc w:val="both"/>
        <w:rPr>
          <w:rFonts w:ascii="Verdana" w:hAnsi="Verdana" w:cs="Arial"/>
          <w:sz w:val="24"/>
          <w:szCs w:val="24"/>
        </w:rPr>
      </w:pPr>
      <w:r w:rsidRPr="0022622E">
        <w:rPr>
          <w:rFonts w:ascii="Verdana" w:hAnsi="Verdana" w:cs="Arial"/>
          <w:sz w:val="24"/>
          <w:szCs w:val="24"/>
        </w:rPr>
        <w:t xml:space="preserve">The English Indices of Deprivation measure relative </w:t>
      </w:r>
      <w:r w:rsidR="001D2845">
        <w:rPr>
          <w:rFonts w:ascii="Verdana" w:hAnsi="Verdana" w:cs="Arial"/>
          <w:sz w:val="24"/>
          <w:szCs w:val="24"/>
        </w:rPr>
        <w:t xml:space="preserve">levels of deprivation in 32,844 </w:t>
      </w:r>
      <w:r w:rsidRPr="0022622E">
        <w:rPr>
          <w:rFonts w:ascii="Verdana" w:hAnsi="Verdana" w:cs="Arial"/>
          <w:sz w:val="24"/>
          <w:szCs w:val="24"/>
        </w:rPr>
        <w:t>small areas or neighbourhoods, called Lower-layer</w:t>
      </w:r>
      <w:r>
        <w:rPr>
          <w:rFonts w:ascii="Verdana" w:hAnsi="Verdana" w:cs="Arial"/>
          <w:sz w:val="24"/>
          <w:szCs w:val="24"/>
        </w:rPr>
        <w:t xml:space="preserve"> Super Output Areas (LSOAs) in England. The </w:t>
      </w:r>
      <w:r w:rsidR="00F64A4F">
        <w:rPr>
          <w:rFonts w:ascii="Verdana" w:hAnsi="Verdana" w:cs="Arial"/>
          <w:sz w:val="24"/>
          <w:szCs w:val="24"/>
        </w:rPr>
        <w:t>Blackfordby</w:t>
      </w:r>
      <w:r>
        <w:rPr>
          <w:rFonts w:ascii="Verdana" w:hAnsi="Verdana" w:cs="Arial"/>
          <w:sz w:val="24"/>
          <w:szCs w:val="24"/>
        </w:rPr>
        <w:t xml:space="preserve"> </w:t>
      </w:r>
      <w:r w:rsidR="00F64A4F">
        <w:rPr>
          <w:rFonts w:ascii="Verdana" w:hAnsi="Verdana" w:cs="Arial"/>
          <w:sz w:val="24"/>
          <w:szCs w:val="24"/>
        </w:rPr>
        <w:t>local area</w:t>
      </w:r>
      <w:r>
        <w:rPr>
          <w:rFonts w:ascii="Verdana" w:hAnsi="Verdana" w:cs="Arial"/>
          <w:sz w:val="24"/>
          <w:szCs w:val="24"/>
        </w:rPr>
        <w:t xml:space="preserve"> </w:t>
      </w:r>
      <w:r w:rsidR="00866EA9">
        <w:rPr>
          <w:rFonts w:ascii="Verdana" w:hAnsi="Verdana" w:cs="Arial"/>
          <w:sz w:val="24"/>
          <w:szCs w:val="24"/>
        </w:rPr>
        <w:t>comprise</w:t>
      </w:r>
      <w:r w:rsidR="00CA0343">
        <w:rPr>
          <w:rFonts w:ascii="Verdana" w:hAnsi="Verdana" w:cs="Arial"/>
          <w:sz w:val="24"/>
          <w:szCs w:val="24"/>
        </w:rPr>
        <w:t>s</w:t>
      </w:r>
      <w:r w:rsidR="00866EA9">
        <w:rPr>
          <w:rFonts w:ascii="Verdana" w:hAnsi="Verdana" w:cs="Arial"/>
          <w:sz w:val="24"/>
          <w:szCs w:val="24"/>
        </w:rPr>
        <w:t xml:space="preserve"> </w:t>
      </w:r>
      <w:r w:rsidR="00CA0343">
        <w:rPr>
          <w:rFonts w:ascii="Verdana" w:hAnsi="Verdana" w:cs="Arial"/>
          <w:sz w:val="24"/>
          <w:szCs w:val="24"/>
        </w:rPr>
        <w:t xml:space="preserve">one </w:t>
      </w:r>
      <w:r w:rsidR="005C1A7E">
        <w:rPr>
          <w:rFonts w:ascii="Verdana" w:hAnsi="Verdana" w:cs="Arial"/>
          <w:sz w:val="24"/>
          <w:szCs w:val="24"/>
        </w:rPr>
        <w:t>LSOA</w:t>
      </w:r>
      <w:r w:rsidR="00866EA9">
        <w:rPr>
          <w:rFonts w:ascii="Verdana" w:hAnsi="Verdana" w:cs="Arial"/>
          <w:sz w:val="24"/>
          <w:szCs w:val="24"/>
        </w:rPr>
        <w:t xml:space="preserve"> (</w:t>
      </w:r>
      <w:r w:rsidR="00A61BD4" w:rsidRPr="00F64A4F">
        <w:rPr>
          <w:rFonts w:ascii="Verdana" w:hAnsi="Verdana" w:cs="Arial"/>
          <w:sz w:val="24"/>
          <w:szCs w:val="24"/>
        </w:rPr>
        <w:t>E01025952</w:t>
      </w:r>
      <w:r w:rsidR="00A61BD4">
        <w:rPr>
          <w:rFonts w:ascii="Verdana" w:hAnsi="Verdana" w:cs="Arial"/>
          <w:sz w:val="24"/>
          <w:szCs w:val="24"/>
        </w:rPr>
        <w:t>) and t</w:t>
      </w:r>
      <w:r w:rsidR="007026FF">
        <w:rPr>
          <w:rFonts w:ascii="Verdana" w:hAnsi="Verdana" w:cs="Arial"/>
          <w:sz w:val="24"/>
          <w:szCs w:val="24"/>
        </w:rPr>
        <w:t>he overall Index of Multiple Deprivation</w:t>
      </w:r>
      <w:r w:rsidR="00891141" w:rsidRPr="00891141">
        <w:rPr>
          <w:rFonts w:ascii="Verdana" w:hAnsi="Verdana" w:cs="Arial"/>
          <w:sz w:val="24"/>
          <w:szCs w:val="24"/>
        </w:rPr>
        <w:t xml:space="preserve"> </w:t>
      </w:r>
      <w:r w:rsidR="00891141">
        <w:rPr>
          <w:rFonts w:ascii="Verdana" w:hAnsi="Verdana" w:cs="Arial"/>
          <w:sz w:val="24"/>
          <w:szCs w:val="24"/>
        </w:rPr>
        <w:t xml:space="preserve">Decile </w:t>
      </w:r>
      <w:r w:rsidR="00891141" w:rsidRPr="00891141">
        <w:rPr>
          <w:rFonts w:ascii="Verdana" w:hAnsi="Verdana" w:cs="Arial"/>
          <w:sz w:val="24"/>
          <w:szCs w:val="24"/>
        </w:rPr>
        <w:t>(where 1 is most deprived 10% of LSOAs)</w:t>
      </w:r>
      <w:r w:rsidR="007026FF">
        <w:rPr>
          <w:rFonts w:ascii="Verdana" w:hAnsi="Verdana" w:cs="Arial"/>
          <w:sz w:val="24"/>
          <w:szCs w:val="24"/>
        </w:rPr>
        <w:t xml:space="preserve"> (IMD) shows</w:t>
      </w:r>
      <w:r w:rsidR="00CA0343">
        <w:rPr>
          <w:rFonts w:ascii="Verdana" w:hAnsi="Verdana" w:cs="Arial"/>
          <w:sz w:val="24"/>
          <w:szCs w:val="24"/>
        </w:rPr>
        <w:t xml:space="preserve"> that</w:t>
      </w:r>
      <w:r w:rsidR="007026FF">
        <w:rPr>
          <w:rFonts w:ascii="Verdana" w:hAnsi="Verdana" w:cs="Arial"/>
          <w:sz w:val="24"/>
          <w:szCs w:val="24"/>
        </w:rPr>
        <w:t xml:space="preserve"> </w:t>
      </w:r>
      <w:r w:rsidR="00124557">
        <w:rPr>
          <w:rFonts w:ascii="Verdana" w:hAnsi="Verdana" w:cs="Arial"/>
          <w:sz w:val="24"/>
          <w:szCs w:val="24"/>
        </w:rPr>
        <w:t xml:space="preserve">on the whole </w:t>
      </w:r>
      <w:r w:rsidR="00866EA9">
        <w:rPr>
          <w:rFonts w:ascii="Verdana" w:hAnsi="Verdana" w:cs="Arial"/>
          <w:sz w:val="24"/>
          <w:szCs w:val="24"/>
        </w:rPr>
        <w:t xml:space="preserve">the </w:t>
      </w:r>
      <w:r w:rsidR="00F64A4F">
        <w:rPr>
          <w:rFonts w:ascii="Verdana" w:hAnsi="Verdana" w:cs="Arial"/>
          <w:sz w:val="24"/>
          <w:szCs w:val="24"/>
        </w:rPr>
        <w:t>local area</w:t>
      </w:r>
      <w:r w:rsidR="00866EA9">
        <w:rPr>
          <w:rFonts w:ascii="Verdana" w:hAnsi="Verdana" w:cs="Arial"/>
          <w:sz w:val="24"/>
          <w:szCs w:val="24"/>
        </w:rPr>
        <w:t xml:space="preserve"> </w:t>
      </w:r>
      <w:r w:rsidR="005C1A7E">
        <w:rPr>
          <w:rFonts w:ascii="Verdana" w:hAnsi="Verdana" w:cs="Arial"/>
          <w:sz w:val="24"/>
          <w:szCs w:val="24"/>
        </w:rPr>
        <w:t>displays</w:t>
      </w:r>
      <w:r w:rsidR="00124557">
        <w:rPr>
          <w:rFonts w:ascii="Verdana" w:hAnsi="Verdana" w:cs="Arial"/>
          <w:sz w:val="24"/>
          <w:szCs w:val="24"/>
        </w:rPr>
        <w:t xml:space="preserve"> relatively low levels of deprivation </w:t>
      </w:r>
      <w:r w:rsidR="00CA0343">
        <w:rPr>
          <w:rFonts w:ascii="Verdana" w:hAnsi="Verdana" w:cs="Arial"/>
          <w:sz w:val="24"/>
          <w:szCs w:val="24"/>
        </w:rPr>
        <w:t>ranking in the 7</w:t>
      </w:r>
      <w:r w:rsidR="00CA0343" w:rsidRPr="00CA0343">
        <w:rPr>
          <w:rFonts w:ascii="Verdana" w:hAnsi="Verdana" w:cs="Arial"/>
          <w:sz w:val="24"/>
          <w:szCs w:val="24"/>
          <w:vertAlign w:val="superscript"/>
        </w:rPr>
        <w:t>th</w:t>
      </w:r>
      <w:r w:rsidR="00CA0343">
        <w:rPr>
          <w:rFonts w:ascii="Verdana" w:hAnsi="Verdana" w:cs="Arial"/>
          <w:sz w:val="24"/>
          <w:szCs w:val="24"/>
        </w:rPr>
        <w:t xml:space="preserve"> </w:t>
      </w:r>
      <w:r w:rsidR="0026244D">
        <w:rPr>
          <w:rFonts w:ascii="Verdana" w:hAnsi="Verdana" w:cs="Arial"/>
          <w:sz w:val="24"/>
          <w:szCs w:val="24"/>
        </w:rPr>
        <w:t>decile on</w:t>
      </w:r>
      <w:r w:rsidR="00891141">
        <w:rPr>
          <w:rFonts w:ascii="Verdana" w:hAnsi="Verdana" w:cs="Arial"/>
          <w:sz w:val="24"/>
          <w:szCs w:val="24"/>
        </w:rPr>
        <w:t xml:space="preserve"> the</w:t>
      </w:r>
      <w:r w:rsidR="00124557">
        <w:rPr>
          <w:rFonts w:ascii="Verdana" w:hAnsi="Verdana" w:cs="Arial"/>
          <w:sz w:val="24"/>
          <w:szCs w:val="24"/>
        </w:rPr>
        <w:t xml:space="preserve"> overall</w:t>
      </w:r>
      <w:r w:rsidR="00891141">
        <w:rPr>
          <w:rFonts w:ascii="Verdana" w:hAnsi="Verdana" w:cs="Arial"/>
          <w:sz w:val="24"/>
          <w:szCs w:val="24"/>
        </w:rPr>
        <w:t xml:space="preserve"> 2015 Index</w:t>
      </w:r>
      <w:r w:rsidR="00124557">
        <w:rPr>
          <w:rFonts w:ascii="Verdana" w:hAnsi="Verdana" w:cs="Arial"/>
          <w:sz w:val="24"/>
          <w:szCs w:val="24"/>
        </w:rPr>
        <w:t xml:space="preserve">. </w:t>
      </w:r>
      <w:r w:rsidR="0012615E">
        <w:rPr>
          <w:rFonts w:ascii="Verdana" w:hAnsi="Verdana" w:cs="Arial"/>
          <w:sz w:val="24"/>
          <w:szCs w:val="24"/>
        </w:rPr>
        <w:t xml:space="preserve">On closer inspection of the IMD sub domains, this area ranks </w:t>
      </w:r>
      <w:r w:rsidR="00CA0343">
        <w:rPr>
          <w:rFonts w:ascii="Verdana" w:hAnsi="Verdana" w:cs="Arial"/>
          <w:sz w:val="24"/>
          <w:szCs w:val="24"/>
        </w:rPr>
        <w:t>relatively high (3</w:t>
      </w:r>
      <w:r w:rsidR="00CA0343" w:rsidRPr="00CA0343">
        <w:rPr>
          <w:rFonts w:ascii="Verdana" w:hAnsi="Verdana" w:cs="Arial"/>
          <w:sz w:val="24"/>
          <w:szCs w:val="24"/>
          <w:vertAlign w:val="superscript"/>
        </w:rPr>
        <w:t>rd</w:t>
      </w:r>
      <w:r w:rsidR="00CA0343">
        <w:rPr>
          <w:rFonts w:ascii="Verdana" w:hAnsi="Verdana" w:cs="Arial"/>
          <w:sz w:val="24"/>
          <w:szCs w:val="24"/>
        </w:rPr>
        <w:t xml:space="preserve"> decile)</w:t>
      </w:r>
      <w:r w:rsidR="005634D1">
        <w:rPr>
          <w:rFonts w:ascii="Verdana" w:hAnsi="Verdana" w:cs="Arial"/>
          <w:sz w:val="24"/>
          <w:szCs w:val="24"/>
        </w:rPr>
        <w:t xml:space="preserve"> on the </w:t>
      </w:r>
      <w:r w:rsidR="00CA0343" w:rsidRPr="00CA0343">
        <w:rPr>
          <w:rFonts w:ascii="Verdana" w:hAnsi="Verdana" w:cs="Arial"/>
          <w:sz w:val="24"/>
          <w:szCs w:val="24"/>
        </w:rPr>
        <w:t xml:space="preserve">Barriers to Housing and Services </w:t>
      </w:r>
      <w:r w:rsidR="005634D1">
        <w:rPr>
          <w:rFonts w:ascii="Verdana" w:hAnsi="Verdana" w:cs="Arial"/>
          <w:sz w:val="24"/>
          <w:szCs w:val="24"/>
        </w:rPr>
        <w:t>domain</w:t>
      </w:r>
      <w:r w:rsidR="00E31C59">
        <w:rPr>
          <w:rFonts w:ascii="Verdana" w:hAnsi="Verdana" w:cs="Arial"/>
          <w:sz w:val="24"/>
          <w:szCs w:val="24"/>
        </w:rPr>
        <w:t xml:space="preserve"> which </w:t>
      </w:r>
      <w:r w:rsidR="00CA0343">
        <w:rPr>
          <w:rFonts w:ascii="Verdana" w:hAnsi="Verdana" w:cs="Arial"/>
          <w:sz w:val="24"/>
          <w:szCs w:val="24"/>
        </w:rPr>
        <w:t xml:space="preserve">may indicate </w:t>
      </w:r>
      <w:r w:rsidR="00B65486" w:rsidRPr="00B65486">
        <w:rPr>
          <w:rFonts w:ascii="Verdana" w:hAnsi="Verdana" w:cs="Arial"/>
          <w:sz w:val="24"/>
          <w:szCs w:val="24"/>
        </w:rPr>
        <w:t>difficulty to access owner-occupation or the private rental market</w:t>
      </w:r>
      <w:r w:rsidR="00B65486">
        <w:rPr>
          <w:rFonts w:ascii="Helvetica" w:hAnsi="Helvetica" w:cs="Helvetica"/>
          <w:color w:val="000000"/>
        </w:rPr>
        <w:t xml:space="preserve">. </w:t>
      </w:r>
      <w:r w:rsidR="00EA76E2">
        <w:rPr>
          <w:rFonts w:ascii="Verdana" w:hAnsi="Verdana" w:cs="Arial"/>
          <w:sz w:val="24"/>
          <w:szCs w:val="24"/>
        </w:rPr>
        <w:t xml:space="preserve">The following map illustrates overall Index of Multiple Deprivation deciles within the </w:t>
      </w:r>
      <w:r w:rsidR="00F64A4F">
        <w:rPr>
          <w:rFonts w:ascii="Verdana" w:hAnsi="Verdana" w:cs="Arial"/>
          <w:sz w:val="24"/>
          <w:szCs w:val="24"/>
        </w:rPr>
        <w:t>NW Leics</w:t>
      </w:r>
      <w:r w:rsidR="00EA76E2">
        <w:rPr>
          <w:rFonts w:ascii="Verdana" w:hAnsi="Verdana" w:cs="Arial"/>
          <w:sz w:val="24"/>
          <w:szCs w:val="24"/>
        </w:rPr>
        <w:t xml:space="preserve"> </w:t>
      </w:r>
      <w:r w:rsidR="00887B8D">
        <w:rPr>
          <w:rFonts w:ascii="Verdana" w:hAnsi="Verdana" w:cs="Arial"/>
          <w:sz w:val="24"/>
          <w:szCs w:val="24"/>
        </w:rPr>
        <w:t>borough</w:t>
      </w:r>
      <w:r w:rsidR="00EA76E2">
        <w:rPr>
          <w:rFonts w:ascii="Verdana" w:hAnsi="Verdana" w:cs="Arial"/>
          <w:sz w:val="24"/>
          <w:szCs w:val="24"/>
        </w:rPr>
        <w:t xml:space="preserve">. The </w:t>
      </w:r>
      <w:r w:rsidR="00F64A4F">
        <w:rPr>
          <w:rFonts w:ascii="Verdana" w:hAnsi="Verdana" w:cs="Arial"/>
          <w:sz w:val="24"/>
          <w:szCs w:val="24"/>
        </w:rPr>
        <w:t>Blackfordby</w:t>
      </w:r>
      <w:r w:rsidR="00EA76E2">
        <w:rPr>
          <w:rFonts w:ascii="Verdana" w:hAnsi="Verdana" w:cs="Arial"/>
          <w:sz w:val="24"/>
          <w:szCs w:val="24"/>
        </w:rPr>
        <w:t xml:space="preserve"> </w:t>
      </w:r>
      <w:r w:rsidR="00621511">
        <w:rPr>
          <w:rFonts w:ascii="Verdana" w:hAnsi="Verdana" w:cs="Arial"/>
          <w:sz w:val="24"/>
          <w:szCs w:val="24"/>
        </w:rPr>
        <w:t>l</w:t>
      </w:r>
      <w:r w:rsidR="00F64A4F">
        <w:rPr>
          <w:rFonts w:ascii="Verdana" w:hAnsi="Verdana" w:cs="Arial"/>
          <w:sz w:val="24"/>
          <w:szCs w:val="24"/>
        </w:rPr>
        <w:t>ocal area</w:t>
      </w:r>
      <w:r w:rsidR="00EA76E2">
        <w:rPr>
          <w:rFonts w:ascii="Verdana" w:hAnsi="Verdana" w:cs="Arial"/>
          <w:sz w:val="24"/>
          <w:szCs w:val="24"/>
        </w:rPr>
        <w:t xml:space="preserve"> is denoted by a </w:t>
      </w:r>
      <w:r w:rsidR="00621511">
        <w:rPr>
          <w:rFonts w:ascii="Verdana" w:hAnsi="Verdana" w:cs="Arial"/>
          <w:sz w:val="24"/>
          <w:szCs w:val="24"/>
        </w:rPr>
        <w:t xml:space="preserve">purple </w:t>
      </w:r>
      <w:r w:rsidR="00EA76E2">
        <w:rPr>
          <w:rFonts w:ascii="Verdana" w:hAnsi="Verdana" w:cs="Arial"/>
          <w:sz w:val="24"/>
          <w:szCs w:val="24"/>
        </w:rPr>
        <w:t xml:space="preserve">boundary to the </w:t>
      </w:r>
      <w:r w:rsidR="00621511">
        <w:rPr>
          <w:rFonts w:ascii="Verdana" w:hAnsi="Verdana" w:cs="Arial"/>
          <w:sz w:val="24"/>
          <w:szCs w:val="24"/>
        </w:rPr>
        <w:t>west</w:t>
      </w:r>
      <w:r w:rsidR="00EA76E2">
        <w:rPr>
          <w:rFonts w:ascii="Verdana" w:hAnsi="Verdana" w:cs="Arial"/>
          <w:sz w:val="24"/>
          <w:szCs w:val="24"/>
        </w:rPr>
        <w:t xml:space="preserve"> of the </w:t>
      </w:r>
      <w:r w:rsidR="00887B8D">
        <w:rPr>
          <w:rFonts w:ascii="Verdana" w:hAnsi="Verdana" w:cs="Arial"/>
          <w:sz w:val="24"/>
          <w:szCs w:val="24"/>
        </w:rPr>
        <w:t>borough</w:t>
      </w:r>
      <w:r w:rsidR="00EA76E2">
        <w:rPr>
          <w:rFonts w:ascii="Verdana" w:hAnsi="Verdana" w:cs="Arial"/>
          <w:sz w:val="24"/>
          <w:szCs w:val="24"/>
        </w:rPr>
        <w:t>.</w:t>
      </w:r>
    </w:p>
    <w:p w14:paraId="28E8A5C7" w14:textId="77777777" w:rsidR="00EA76E2" w:rsidRPr="00DA1C64" w:rsidRDefault="00EA76E2" w:rsidP="00EA76E2">
      <w:pPr>
        <w:pStyle w:val="NoSpacing"/>
        <w:spacing w:before="80"/>
        <w:jc w:val="both"/>
        <w:rPr>
          <w:rFonts w:ascii="Verdana" w:hAnsi="Verdana" w:cs="Arial"/>
          <w:sz w:val="10"/>
          <w:szCs w:val="24"/>
        </w:rPr>
      </w:pPr>
    </w:p>
    <w:p w14:paraId="002C91D2" w14:textId="77777777" w:rsidR="00CA0343" w:rsidRDefault="00EA76E2" w:rsidP="00EA76E2">
      <w:pPr>
        <w:pStyle w:val="Caption"/>
        <w:keepNext/>
        <w:spacing w:after="0"/>
        <w:jc w:val="center"/>
        <w:rPr>
          <w:rFonts w:ascii="Verdana" w:hAnsi="Verdana" w:cs="Arial"/>
          <w:b/>
          <w:sz w:val="22"/>
          <w:szCs w:val="24"/>
        </w:rPr>
      </w:pPr>
      <w:r w:rsidRPr="00EA7C02">
        <w:rPr>
          <w:rFonts w:ascii="Verdana" w:hAnsi="Verdana" w:cs="Arial"/>
          <w:b/>
          <w:sz w:val="22"/>
          <w:szCs w:val="24"/>
        </w:rPr>
        <w:lastRenderedPageBreak/>
        <w:t xml:space="preserve">Figure </w:t>
      </w:r>
      <w:r w:rsidR="00913D88">
        <w:rPr>
          <w:rFonts w:ascii="Verdana" w:hAnsi="Verdana" w:cs="Arial"/>
          <w:b/>
          <w:sz w:val="22"/>
          <w:szCs w:val="24"/>
        </w:rPr>
        <w:fldChar w:fldCharType="begin"/>
      </w:r>
      <w:r w:rsidR="00913D88">
        <w:rPr>
          <w:rFonts w:ascii="Verdana" w:hAnsi="Verdana" w:cs="Arial"/>
          <w:b/>
          <w:sz w:val="22"/>
          <w:szCs w:val="24"/>
        </w:rPr>
        <w:instrText xml:space="preserve"> SEQ Figure \* ARABIC </w:instrText>
      </w:r>
      <w:r w:rsidR="00913D88">
        <w:rPr>
          <w:rFonts w:ascii="Verdana" w:hAnsi="Verdana" w:cs="Arial"/>
          <w:b/>
          <w:sz w:val="22"/>
          <w:szCs w:val="24"/>
        </w:rPr>
        <w:fldChar w:fldCharType="separate"/>
      </w:r>
      <w:r w:rsidR="00CA4EB9">
        <w:rPr>
          <w:rFonts w:ascii="Verdana" w:hAnsi="Verdana" w:cs="Arial"/>
          <w:b/>
          <w:noProof/>
          <w:sz w:val="22"/>
          <w:szCs w:val="24"/>
        </w:rPr>
        <w:t>2</w:t>
      </w:r>
      <w:r w:rsidR="00913D88">
        <w:rPr>
          <w:rFonts w:ascii="Verdana" w:hAnsi="Verdana" w:cs="Arial"/>
          <w:b/>
          <w:sz w:val="22"/>
          <w:szCs w:val="24"/>
        </w:rPr>
        <w:fldChar w:fldCharType="end"/>
      </w:r>
      <w:r w:rsidRPr="00EA7C02">
        <w:rPr>
          <w:rFonts w:ascii="Verdana" w:hAnsi="Verdana" w:cs="Arial"/>
          <w:b/>
          <w:sz w:val="22"/>
          <w:szCs w:val="24"/>
        </w:rPr>
        <w:t xml:space="preserve"> Index of Multiple Deprivation Deciles, 2015</w:t>
      </w:r>
      <w:r w:rsidR="00CA0343">
        <w:rPr>
          <w:rFonts w:ascii="Verdana" w:hAnsi="Verdana" w:cs="Arial"/>
          <w:b/>
          <w:sz w:val="22"/>
          <w:szCs w:val="24"/>
        </w:rPr>
        <w:t>,</w:t>
      </w:r>
    </w:p>
    <w:p w14:paraId="48E2E68D" w14:textId="77777777" w:rsidR="00EA76E2" w:rsidRPr="00EA7C02" w:rsidRDefault="00F64A4F" w:rsidP="00EA76E2">
      <w:pPr>
        <w:pStyle w:val="Caption"/>
        <w:keepNext/>
        <w:spacing w:after="0"/>
        <w:jc w:val="center"/>
        <w:rPr>
          <w:rFonts w:ascii="Verdana" w:hAnsi="Verdana" w:cs="Arial"/>
          <w:b/>
          <w:sz w:val="22"/>
          <w:szCs w:val="24"/>
        </w:rPr>
      </w:pPr>
      <w:r>
        <w:rPr>
          <w:rFonts w:ascii="Verdana" w:hAnsi="Verdana" w:cs="Arial"/>
          <w:b/>
          <w:sz w:val="22"/>
          <w:szCs w:val="24"/>
        </w:rPr>
        <w:t>NW Leic</w:t>
      </w:r>
      <w:r w:rsidR="00A61BD4">
        <w:rPr>
          <w:rFonts w:ascii="Verdana" w:hAnsi="Verdana" w:cs="Arial"/>
          <w:b/>
          <w:sz w:val="22"/>
          <w:szCs w:val="24"/>
        </w:rPr>
        <w:t>e</w:t>
      </w:r>
      <w:r>
        <w:rPr>
          <w:rFonts w:ascii="Verdana" w:hAnsi="Verdana" w:cs="Arial"/>
          <w:b/>
          <w:sz w:val="22"/>
          <w:szCs w:val="24"/>
        </w:rPr>
        <w:t>s</w:t>
      </w:r>
      <w:r w:rsidR="00A61BD4">
        <w:rPr>
          <w:rFonts w:ascii="Verdana" w:hAnsi="Verdana" w:cs="Arial"/>
          <w:b/>
          <w:sz w:val="22"/>
          <w:szCs w:val="24"/>
        </w:rPr>
        <w:t>tershire</w:t>
      </w:r>
      <w:r w:rsidR="00CA0343">
        <w:rPr>
          <w:rFonts w:ascii="Verdana" w:hAnsi="Verdana" w:cs="Arial"/>
          <w:b/>
          <w:sz w:val="22"/>
          <w:szCs w:val="24"/>
        </w:rPr>
        <w:t xml:space="preserve"> Borough Council</w:t>
      </w:r>
    </w:p>
    <w:p w14:paraId="43B39115" w14:textId="77777777" w:rsidR="00EA76E2" w:rsidRDefault="00AC0AAA" w:rsidP="00EA76E2">
      <w:pPr>
        <w:pStyle w:val="NoSpacing"/>
        <w:jc w:val="center"/>
        <w:rPr>
          <w:rFonts w:ascii="Verdana" w:hAnsi="Verdana" w:cs="Arial"/>
          <w:b/>
          <w:sz w:val="24"/>
          <w:szCs w:val="24"/>
        </w:rPr>
      </w:pPr>
      <w:r>
        <w:rPr>
          <w:rFonts w:ascii="Verdana" w:hAnsi="Verdana" w:cs="Arial"/>
          <w:b/>
          <w:noProof/>
          <w:sz w:val="24"/>
          <w:szCs w:val="24"/>
        </w:rPr>
        <w:drawing>
          <wp:inline distT="0" distB="0" distL="0" distR="0" wp14:anchorId="48DED1A0" wp14:editId="271CBF52">
            <wp:extent cx="3955187" cy="2796540"/>
            <wp:effectExtent l="133350" t="114300" r="140970" b="1562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orndon IMD map.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102" cy="27978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AD19D08" w14:textId="77777777" w:rsidR="00EA76E2" w:rsidRDefault="00EA76E2" w:rsidP="008B5A87">
      <w:pPr>
        <w:spacing w:after="0" w:line="240" w:lineRule="auto"/>
        <w:jc w:val="both"/>
        <w:rPr>
          <w:rFonts w:ascii="Verdana" w:hAnsi="Verdana" w:cs="Arial"/>
          <w:b/>
          <w:sz w:val="24"/>
          <w:szCs w:val="24"/>
        </w:rPr>
      </w:pPr>
    </w:p>
    <w:p w14:paraId="368223E8" w14:textId="77777777" w:rsidR="00346649" w:rsidRPr="004F6709" w:rsidRDefault="00346649" w:rsidP="008B5A87">
      <w:pPr>
        <w:spacing w:after="0" w:line="240" w:lineRule="auto"/>
        <w:jc w:val="both"/>
        <w:rPr>
          <w:rFonts w:ascii="Verdana" w:hAnsi="Verdana" w:cs="Arial"/>
          <w:b/>
          <w:sz w:val="24"/>
          <w:szCs w:val="24"/>
        </w:rPr>
      </w:pPr>
      <w:r w:rsidRPr="004F6709">
        <w:rPr>
          <w:rFonts w:ascii="Verdana" w:hAnsi="Verdana" w:cs="Arial"/>
          <w:b/>
          <w:sz w:val="24"/>
          <w:szCs w:val="24"/>
        </w:rPr>
        <w:t>Economic Activity</w:t>
      </w:r>
    </w:p>
    <w:p w14:paraId="39A8599E" w14:textId="77777777" w:rsidR="00BD4844" w:rsidRDefault="00346649" w:rsidP="00BD4844">
      <w:pPr>
        <w:pStyle w:val="NoSpacing"/>
        <w:spacing w:before="80"/>
        <w:jc w:val="both"/>
        <w:rPr>
          <w:rFonts w:ascii="Verdana" w:hAnsi="Verdana" w:cs="Arial"/>
          <w:sz w:val="24"/>
          <w:szCs w:val="24"/>
        </w:rPr>
      </w:pPr>
      <w:r w:rsidRPr="004F6709">
        <w:rPr>
          <w:rFonts w:ascii="Verdana" w:hAnsi="Verdana" w:cs="Arial"/>
          <w:sz w:val="24"/>
          <w:szCs w:val="24"/>
        </w:rPr>
        <w:t xml:space="preserve">The </w:t>
      </w:r>
      <w:r w:rsidR="00242772" w:rsidRPr="004F6709">
        <w:rPr>
          <w:rFonts w:ascii="Verdana" w:hAnsi="Verdana" w:cs="Arial"/>
          <w:sz w:val="24"/>
          <w:szCs w:val="24"/>
        </w:rPr>
        <w:t>following table</w:t>
      </w:r>
      <w:r w:rsidRPr="004F6709">
        <w:rPr>
          <w:rFonts w:ascii="Verdana" w:hAnsi="Verdana" w:cs="Arial"/>
          <w:sz w:val="24"/>
          <w:szCs w:val="24"/>
        </w:rPr>
        <w:t xml:space="preserve"> illustrates the working status of residents aged 16 </w:t>
      </w:r>
      <w:r w:rsidR="00B44719" w:rsidRPr="004F6709">
        <w:rPr>
          <w:rFonts w:ascii="Verdana" w:hAnsi="Verdana" w:cs="Arial"/>
          <w:sz w:val="24"/>
          <w:szCs w:val="24"/>
        </w:rPr>
        <w:t xml:space="preserve">to 74. </w:t>
      </w:r>
      <w:r w:rsidRPr="004F6709">
        <w:rPr>
          <w:rFonts w:ascii="Verdana" w:hAnsi="Verdana" w:cs="Arial"/>
          <w:sz w:val="24"/>
          <w:szCs w:val="24"/>
        </w:rPr>
        <w:t>In</w:t>
      </w:r>
      <w:r w:rsidR="00B97637" w:rsidRPr="004F6709">
        <w:rPr>
          <w:rFonts w:ascii="Verdana" w:hAnsi="Verdana" w:cs="Arial"/>
          <w:sz w:val="24"/>
          <w:szCs w:val="24"/>
        </w:rPr>
        <w:t xml:space="preserve"> </w:t>
      </w:r>
      <w:r w:rsidR="00614D98">
        <w:rPr>
          <w:rFonts w:ascii="Verdana" w:hAnsi="Verdana" w:cs="Arial"/>
          <w:sz w:val="24"/>
          <w:szCs w:val="24"/>
        </w:rPr>
        <w:t xml:space="preserve">the </w:t>
      </w:r>
      <w:r w:rsidR="00F64A4F">
        <w:rPr>
          <w:rFonts w:ascii="Verdana" w:hAnsi="Verdana" w:cs="Arial"/>
          <w:sz w:val="24"/>
          <w:szCs w:val="24"/>
        </w:rPr>
        <w:t>Blackfordby</w:t>
      </w:r>
      <w:r w:rsidR="00E31E13" w:rsidRPr="004F6709">
        <w:rPr>
          <w:rFonts w:ascii="Verdana" w:hAnsi="Verdana" w:cs="Arial"/>
          <w:sz w:val="24"/>
          <w:szCs w:val="24"/>
        </w:rPr>
        <w:t xml:space="preserve"> </w:t>
      </w:r>
      <w:r w:rsidR="00614D98">
        <w:rPr>
          <w:rFonts w:ascii="Verdana" w:hAnsi="Verdana" w:cs="Arial"/>
          <w:sz w:val="24"/>
          <w:szCs w:val="24"/>
        </w:rPr>
        <w:t>l</w:t>
      </w:r>
      <w:r w:rsidR="00F64A4F">
        <w:rPr>
          <w:rFonts w:ascii="Verdana" w:hAnsi="Verdana" w:cs="Arial"/>
          <w:sz w:val="24"/>
          <w:szCs w:val="24"/>
        </w:rPr>
        <w:t>ocal area</w:t>
      </w:r>
      <w:r w:rsidRPr="004F6709">
        <w:rPr>
          <w:rFonts w:ascii="Verdana" w:hAnsi="Verdana" w:cs="Arial"/>
          <w:sz w:val="24"/>
          <w:szCs w:val="24"/>
        </w:rPr>
        <w:t xml:space="preserve"> this accounts for </w:t>
      </w:r>
      <w:r w:rsidR="004F6709" w:rsidRPr="004F6709">
        <w:rPr>
          <w:rFonts w:ascii="Verdana" w:hAnsi="Verdana" w:cs="Arial"/>
          <w:sz w:val="24"/>
          <w:szCs w:val="24"/>
        </w:rPr>
        <w:t>7</w:t>
      </w:r>
      <w:r w:rsidR="00614D98">
        <w:rPr>
          <w:rFonts w:ascii="Verdana" w:hAnsi="Verdana" w:cs="Arial"/>
          <w:sz w:val="24"/>
          <w:szCs w:val="24"/>
        </w:rPr>
        <w:t>4</w:t>
      </w:r>
      <w:r w:rsidR="00A727E0" w:rsidRPr="004F6709">
        <w:rPr>
          <w:rFonts w:ascii="Verdana" w:hAnsi="Verdana" w:cs="Arial"/>
          <w:sz w:val="24"/>
          <w:szCs w:val="24"/>
        </w:rPr>
        <w:t>%</w:t>
      </w:r>
      <w:r w:rsidRPr="004F6709">
        <w:rPr>
          <w:rFonts w:ascii="Verdana" w:hAnsi="Verdana" w:cs="Arial"/>
          <w:sz w:val="24"/>
          <w:szCs w:val="24"/>
        </w:rPr>
        <w:t xml:space="preserve"> of the population.</w:t>
      </w:r>
      <w:r w:rsidR="00A727E0" w:rsidRPr="004F6709">
        <w:rPr>
          <w:rFonts w:ascii="Verdana" w:hAnsi="Verdana" w:cs="Arial"/>
          <w:sz w:val="24"/>
          <w:szCs w:val="24"/>
        </w:rPr>
        <w:t xml:space="preserve"> </w:t>
      </w:r>
      <w:r w:rsidR="00DD6BCD" w:rsidRPr="004F6709">
        <w:rPr>
          <w:rFonts w:ascii="Verdana" w:hAnsi="Verdana" w:cs="Arial"/>
          <w:sz w:val="24"/>
          <w:szCs w:val="24"/>
        </w:rPr>
        <w:t xml:space="preserve">At </w:t>
      </w:r>
      <w:r w:rsidR="00614D98">
        <w:rPr>
          <w:rFonts w:ascii="Verdana" w:hAnsi="Verdana" w:cs="Arial"/>
          <w:sz w:val="24"/>
          <w:szCs w:val="24"/>
        </w:rPr>
        <w:t>62</w:t>
      </w:r>
      <w:r w:rsidR="00DD6BCD" w:rsidRPr="004F6709">
        <w:rPr>
          <w:rFonts w:ascii="Verdana" w:hAnsi="Verdana" w:cs="Arial"/>
          <w:sz w:val="24"/>
          <w:szCs w:val="24"/>
        </w:rPr>
        <w:t xml:space="preserve">% </w:t>
      </w:r>
      <w:r w:rsidR="00F64A4F">
        <w:rPr>
          <w:rFonts w:ascii="Verdana" w:hAnsi="Verdana" w:cs="Arial"/>
          <w:sz w:val="24"/>
          <w:szCs w:val="24"/>
        </w:rPr>
        <w:t>Blackfordby</w:t>
      </w:r>
      <w:r w:rsidR="00614D98">
        <w:rPr>
          <w:rFonts w:ascii="Verdana" w:hAnsi="Verdana" w:cs="Arial"/>
          <w:sz w:val="24"/>
          <w:szCs w:val="24"/>
        </w:rPr>
        <w:t xml:space="preserve">’s </w:t>
      </w:r>
      <w:r w:rsidR="000B322F" w:rsidRPr="004F6709">
        <w:rPr>
          <w:rFonts w:ascii="Verdana" w:hAnsi="Verdana" w:cs="Arial"/>
          <w:sz w:val="24"/>
          <w:szCs w:val="24"/>
        </w:rPr>
        <w:t>e</w:t>
      </w:r>
      <w:r w:rsidR="00A727E0" w:rsidRPr="004F6709">
        <w:rPr>
          <w:rFonts w:ascii="Verdana" w:hAnsi="Verdana" w:cs="Arial"/>
          <w:sz w:val="24"/>
          <w:szCs w:val="24"/>
        </w:rPr>
        <w:t xml:space="preserve">conomic activity </w:t>
      </w:r>
      <w:r w:rsidR="000B322F" w:rsidRPr="004F6709">
        <w:rPr>
          <w:rFonts w:ascii="Verdana" w:hAnsi="Verdana" w:cs="Arial"/>
          <w:sz w:val="24"/>
          <w:szCs w:val="24"/>
        </w:rPr>
        <w:t xml:space="preserve">rate </w:t>
      </w:r>
      <w:r w:rsidR="00614D98">
        <w:rPr>
          <w:rFonts w:ascii="Verdana" w:hAnsi="Verdana" w:cs="Arial"/>
          <w:sz w:val="24"/>
          <w:szCs w:val="24"/>
        </w:rPr>
        <w:t>is somewhat</w:t>
      </w:r>
      <w:r w:rsidR="00B65486">
        <w:rPr>
          <w:rFonts w:ascii="Verdana" w:hAnsi="Verdana" w:cs="Arial"/>
          <w:sz w:val="24"/>
          <w:szCs w:val="24"/>
        </w:rPr>
        <w:t xml:space="preserve"> </w:t>
      </w:r>
      <w:r w:rsidR="00614D98">
        <w:rPr>
          <w:rFonts w:ascii="Verdana" w:hAnsi="Verdana" w:cs="Arial"/>
          <w:sz w:val="24"/>
          <w:szCs w:val="24"/>
        </w:rPr>
        <w:t>lower than</w:t>
      </w:r>
      <w:r w:rsidR="00B65486">
        <w:rPr>
          <w:rFonts w:ascii="Verdana" w:hAnsi="Verdana" w:cs="Arial"/>
          <w:sz w:val="24"/>
          <w:szCs w:val="24"/>
        </w:rPr>
        <w:t xml:space="preserve"> the</w:t>
      </w:r>
      <w:r w:rsidR="00E31E13" w:rsidRPr="004F6709">
        <w:rPr>
          <w:rFonts w:ascii="Verdana" w:hAnsi="Verdana" w:cs="Arial"/>
          <w:sz w:val="24"/>
          <w:szCs w:val="24"/>
        </w:rPr>
        <w:t xml:space="preserve"> </w:t>
      </w:r>
      <w:r w:rsidR="00887B8D">
        <w:rPr>
          <w:rFonts w:ascii="Verdana" w:hAnsi="Verdana" w:cs="Arial"/>
          <w:sz w:val="24"/>
          <w:szCs w:val="24"/>
        </w:rPr>
        <w:t>borough</w:t>
      </w:r>
      <w:r w:rsidR="00614D98">
        <w:rPr>
          <w:rFonts w:ascii="Verdana" w:hAnsi="Verdana" w:cs="Arial"/>
          <w:sz w:val="24"/>
          <w:szCs w:val="24"/>
        </w:rPr>
        <w:t xml:space="preserve"> (73%), </w:t>
      </w:r>
      <w:r w:rsidR="00E31E13" w:rsidRPr="004F6709">
        <w:rPr>
          <w:rFonts w:ascii="Verdana" w:hAnsi="Verdana" w:cs="Arial"/>
          <w:sz w:val="24"/>
          <w:szCs w:val="24"/>
        </w:rPr>
        <w:t>regional</w:t>
      </w:r>
      <w:r w:rsidR="00E748DB" w:rsidRPr="004F6709">
        <w:rPr>
          <w:rFonts w:ascii="Verdana" w:hAnsi="Verdana" w:cs="Arial"/>
          <w:sz w:val="24"/>
          <w:szCs w:val="24"/>
        </w:rPr>
        <w:t xml:space="preserve"> (69%)</w:t>
      </w:r>
      <w:r w:rsidR="00E31E13" w:rsidRPr="004F6709">
        <w:rPr>
          <w:rFonts w:ascii="Verdana" w:hAnsi="Verdana" w:cs="Arial"/>
          <w:sz w:val="24"/>
          <w:szCs w:val="24"/>
        </w:rPr>
        <w:t xml:space="preserve"> and n</w:t>
      </w:r>
      <w:r w:rsidR="00D82EA2" w:rsidRPr="004F6709">
        <w:rPr>
          <w:rFonts w:ascii="Verdana" w:hAnsi="Verdana" w:cs="Arial"/>
          <w:sz w:val="24"/>
          <w:szCs w:val="24"/>
        </w:rPr>
        <w:t>ational</w:t>
      </w:r>
      <w:r w:rsidR="00E748DB" w:rsidRPr="004F6709">
        <w:rPr>
          <w:rFonts w:ascii="Verdana" w:hAnsi="Verdana" w:cs="Arial"/>
          <w:sz w:val="24"/>
          <w:szCs w:val="24"/>
        </w:rPr>
        <w:t xml:space="preserve"> (70%)</w:t>
      </w:r>
      <w:r w:rsidR="004F6709" w:rsidRPr="004F6709">
        <w:rPr>
          <w:rFonts w:ascii="Verdana" w:hAnsi="Verdana" w:cs="Arial"/>
          <w:sz w:val="24"/>
          <w:szCs w:val="24"/>
        </w:rPr>
        <w:t xml:space="preserve"> rates.</w:t>
      </w:r>
      <w:r w:rsidR="00A727E0" w:rsidRPr="004F6709">
        <w:rPr>
          <w:rFonts w:ascii="Verdana" w:hAnsi="Verdana" w:cs="Arial"/>
          <w:sz w:val="24"/>
          <w:szCs w:val="24"/>
        </w:rPr>
        <w:t xml:space="preserve"> </w:t>
      </w:r>
      <w:r w:rsidR="008978D6">
        <w:rPr>
          <w:rFonts w:ascii="Verdana" w:hAnsi="Verdana" w:cs="Arial"/>
          <w:sz w:val="24"/>
          <w:szCs w:val="24"/>
        </w:rPr>
        <w:t>It</w:t>
      </w:r>
      <w:r w:rsidR="00BD4844" w:rsidRPr="004F6709">
        <w:rPr>
          <w:rFonts w:ascii="Verdana" w:hAnsi="Verdana" w:cs="Arial"/>
          <w:sz w:val="24"/>
          <w:szCs w:val="24"/>
        </w:rPr>
        <w:t xml:space="preserve"> has a higher than average share of </w:t>
      </w:r>
      <w:r w:rsidR="008978D6">
        <w:rPr>
          <w:rFonts w:ascii="Verdana" w:hAnsi="Verdana" w:cs="Arial"/>
          <w:sz w:val="24"/>
          <w:szCs w:val="24"/>
        </w:rPr>
        <w:t>retired</w:t>
      </w:r>
      <w:r w:rsidR="005B5AD1">
        <w:rPr>
          <w:rFonts w:ascii="Verdana" w:hAnsi="Verdana" w:cs="Arial"/>
          <w:sz w:val="24"/>
          <w:szCs w:val="24"/>
        </w:rPr>
        <w:t xml:space="preserve"> residents </w:t>
      </w:r>
      <w:r w:rsidR="008978D6">
        <w:rPr>
          <w:rFonts w:ascii="Verdana" w:hAnsi="Verdana" w:cs="Arial"/>
          <w:sz w:val="24"/>
          <w:szCs w:val="24"/>
        </w:rPr>
        <w:t>which reflects the higher prevalence of older residents.</w:t>
      </w:r>
    </w:p>
    <w:p w14:paraId="0A82D02D" w14:textId="77777777" w:rsidR="00D8165E" w:rsidRPr="00CE7D83" w:rsidRDefault="00D8165E" w:rsidP="00CE7D83">
      <w:pPr>
        <w:pStyle w:val="NoSpacing"/>
        <w:rPr>
          <w:sz w:val="16"/>
        </w:rPr>
      </w:pPr>
    </w:p>
    <w:p w14:paraId="577916A7" w14:textId="77777777" w:rsidR="00346649" w:rsidRPr="00F37FDE" w:rsidRDefault="00346649" w:rsidP="00A215FC">
      <w:pPr>
        <w:pStyle w:val="Caption"/>
        <w:keepNext/>
        <w:spacing w:after="120"/>
        <w:jc w:val="center"/>
        <w:rPr>
          <w:rFonts w:ascii="Verdana" w:hAnsi="Verdana" w:cs="Arial"/>
          <w:b/>
          <w:sz w:val="22"/>
          <w:szCs w:val="24"/>
        </w:rPr>
      </w:pPr>
      <w:r w:rsidRPr="00F37FDE">
        <w:rPr>
          <w:rFonts w:ascii="Verdana" w:hAnsi="Verdana" w:cs="Arial"/>
          <w:b/>
          <w:sz w:val="22"/>
          <w:szCs w:val="24"/>
        </w:rPr>
        <w:t xml:space="preserve">Table </w:t>
      </w:r>
      <w:r w:rsidRPr="00F37FDE">
        <w:rPr>
          <w:rFonts w:ascii="Verdana" w:hAnsi="Verdana" w:cs="Arial"/>
          <w:b/>
          <w:sz w:val="22"/>
          <w:szCs w:val="24"/>
        </w:rPr>
        <w:fldChar w:fldCharType="begin"/>
      </w:r>
      <w:r w:rsidRPr="00F37FDE">
        <w:rPr>
          <w:rFonts w:ascii="Verdana" w:hAnsi="Verdana" w:cs="Arial"/>
          <w:b/>
          <w:sz w:val="22"/>
          <w:szCs w:val="24"/>
        </w:rPr>
        <w:instrText xml:space="preserve"> SEQ Table \* ARABIC </w:instrText>
      </w:r>
      <w:r w:rsidRPr="00F37FDE">
        <w:rPr>
          <w:rFonts w:ascii="Verdana" w:hAnsi="Verdana" w:cs="Arial"/>
          <w:b/>
          <w:sz w:val="22"/>
          <w:szCs w:val="24"/>
        </w:rPr>
        <w:fldChar w:fldCharType="separate"/>
      </w:r>
      <w:r w:rsidR="00CA4EB9">
        <w:rPr>
          <w:rFonts w:ascii="Verdana" w:hAnsi="Verdana" w:cs="Arial"/>
          <w:b/>
          <w:noProof/>
          <w:sz w:val="22"/>
          <w:szCs w:val="24"/>
        </w:rPr>
        <w:t>2</w:t>
      </w:r>
      <w:r w:rsidRPr="00F37FDE">
        <w:rPr>
          <w:rFonts w:ascii="Verdana" w:hAnsi="Verdana" w:cs="Arial"/>
          <w:b/>
          <w:sz w:val="22"/>
          <w:szCs w:val="24"/>
        </w:rPr>
        <w:fldChar w:fldCharType="end"/>
      </w:r>
      <w:r w:rsidRPr="00F37FDE">
        <w:rPr>
          <w:rFonts w:ascii="Verdana" w:hAnsi="Verdana" w:cs="Arial"/>
          <w:b/>
          <w:sz w:val="22"/>
          <w:szCs w:val="24"/>
        </w:rPr>
        <w:t>: Economic Activity and Inactivity, 2011</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858"/>
        <w:gridCol w:w="843"/>
        <w:gridCol w:w="1234"/>
        <w:gridCol w:w="1217"/>
        <w:gridCol w:w="1120"/>
      </w:tblGrid>
      <w:tr w:rsidR="00A07A22" w:rsidRPr="00F37FDE" w14:paraId="474750CA" w14:textId="77777777" w:rsidTr="00614D98">
        <w:trPr>
          <w:tblHeader/>
          <w:jc w:val="center"/>
        </w:trPr>
        <w:tc>
          <w:tcPr>
            <w:tcW w:w="4027" w:type="dxa"/>
            <w:vMerge w:val="restart"/>
            <w:shd w:val="clear" w:color="auto" w:fill="DEEAF6" w:themeFill="accent1" w:themeFillTint="33"/>
            <w:noWrap/>
            <w:vAlign w:val="center"/>
          </w:tcPr>
          <w:p w14:paraId="5B66E95F" w14:textId="77777777" w:rsidR="00346649" w:rsidRPr="00F37FDE" w:rsidRDefault="00346649" w:rsidP="008B5A87">
            <w:pPr>
              <w:spacing w:after="0" w:line="240" w:lineRule="auto"/>
              <w:jc w:val="both"/>
              <w:rPr>
                <w:rFonts w:ascii="Verdana" w:eastAsia="Times New Roman" w:hAnsi="Verdana" w:cs="Arial"/>
                <w:b/>
                <w:color w:val="000000"/>
                <w:sz w:val="20"/>
                <w:szCs w:val="20"/>
                <w:lang w:eastAsia="en-GB"/>
              </w:rPr>
            </w:pPr>
          </w:p>
        </w:tc>
        <w:tc>
          <w:tcPr>
            <w:tcW w:w="1701" w:type="dxa"/>
            <w:gridSpan w:val="2"/>
            <w:shd w:val="clear" w:color="auto" w:fill="DEEAF6" w:themeFill="accent1" w:themeFillTint="33"/>
            <w:noWrap/>
            <w:vAlign w:val="center"/>
          </w:tcPr>
          <w:p w14:paraId="1613C026" w14:textId="77777777" w:rsidR="00346649" w:rsidRPr="00F37FDE" w:rsidRDefault="00F64A4F" w:rsidP="001C020C">
            <w:pPr>
              <w:spacing w:after="0" w:line="240" w:lineRule="auto"/>
              <w:jc w:val="center"/>
              <w:rPr>
                <w:rFonts w:ascii="Verdana" w:eastAsia="Times New Roman" w:hAnsi="Verdana" w:cs="Arial"/>
                <w:b/>
                <w:color w:val="000000"/>
                <w:sz w:val="20"/>
                <w:szCs w:val="20"/>
                <w:lang w:eastAsia="en-GB"/>
              </w:rPr>
            </w:pPr>
            <w:r>
              <w:rPr>
                <w:rFonts w:ascii="Verdana" w:eastAsia="Times New Roman" w:hAnsi="Verdana" w:cs="Arial"/>
                <w:b/>
                <w:color w:val="000000"/>
                <w:sz w:val="20"/>
                <w:szCs w:val="20"/>
                <w:lang w:eastAsia="en-GB"/>
              </w:rPr>
              <w:t>Blackfordby</w:t>
            </w:r>
            <w:r w:rsidR="00E36FF9">
              <w:rPr>
                <w:rFonts w:ascii="Verdana" w:eastAsia="Times New Roman" w:hAnsi="Verdana" w:cs="Arial"/>
                <w:b/>
                <w:color w:val="000000"/>
                <w:sz w:val="20"/>
                <w:szCs w:val="20"/>
                <w:lang w:eastAsia="en-GB"/>
              </w:rPr>
              <w:t xml:space="preserve"> </w:t>
            </w:r>
          </w:p>
        </w:tc>
        <w:tc>
          <w:tcPr>
            <w:tcW w:w="1234" w:type="dxa"/>
            <w:shd w:val="clear" w:color="auto" w:fill="DEEAF6" w:themeFill="accent1" w:themeFillTint="33"/>
            <w:noWrap/>
            <w:vAlign w:val="center"/>
          </w:tcPr>
          <w:p w14:paraId="0EBF3518" w14:textId="77777777" w:rsidR="00346649" w:rsidRPr="00F37FDE" w:rsidRDefault="00F64A4F" w:rsidP="008B5A87">
            <w:pPr>
              <w:spacing w:after="0" w:line="240" w:lineRule="auto"/>
              <w:jc w:val="center"/>
              <w:rPr>
                <w:rFonts w:ascii="Verdana" w:eastAsia="Times New Roman" w:hAnsi="Verdana" w:cs="Arial"/>
                <w:b/>
                <w:color w:val="000000"/>
                <w:sz w:val="20"/>
                <w:szCs w:val="20"/>
                <w:lang w:eastAsia="en-GB"/>
              </w:rPr>
            </w:pPr>
            <w:r>
              <w:rPr>
                <w:rFonts w:ascii="Verdana" w:eastAsia="Times New Roman" w:hAnsi="Verdana" w:cs="Arial"/>
                <w:b/>
                <w:color w:val="000000"/>
                <w:sz w:val="20"/>
                <w:szCs w:val="20"/>
                <w:lang w:eastAsia="en-GB"/>
              </w:rPr>
              <w:t>NW</w:t>
            </w:r>
            <w:r w:rsidR="00614D98">
              <w:rPr>
                <w:rFonts w:ascii="Verdana" w:eastAsia="Times New Roman" w:hAnsi="Verdana" w:cs="Arial"/>
                <w:b/>
                <w:color w:val="000000"/>
                <w:sz w:val="20"/>
                <w:szCs w:val="20"/>
                <w:lang w:eastAsia="en-GB"/>
              </w:rPr>
              <w:br/>
            </w:r>
            <w:r>
              <w:rPr>
                <w:rFonts w:ascii="Verdana" w:eastAsia="Times New Roman" w:hAnsi="Verdana" w:cs="Arial"/>
                <w:b/>
                <w:color w:val="000000"/>
                <w:sz w:val="20"/>
                <w:szCs w:val="20"/>
                <w:lang w:eastAsia="en-GB"/>
              </w:rPr>
              <w:t>Leics</w:t>
            </w:r>
          </w:p>
        </w:tc>
        <w:tc>
          <w:tcPr>
            <w:tcW w:w="0" w:type="auto"/>
            <w:shd w:val="clear" w:color="auto" w:fill="DEEAF6" w:themeFill="accent1" w:themeFillTint="33"/>
            <w:noWrap/>
            <w:vAlign w:val="center"/>
          </w:tcPr>
          <w:p w14:paraId="5864918A" w14:textId="77777777" w:rsidR="00346649" w:rsidRPr="00F37FDE" w:rsidRDefault="00F2730B" w:rsidP="008B5A87">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East</w:t>
            </w:r>
            <w:r w:rsidRPr="00F37FDE">
              <w:rPr>
                <w:rFonts w:ascii="Verdana" w:eastAsia="Times New Roman" w:hAnsi="Verdana" w:cs="Arial"/>
                <w:b/>
                <w:color w:val="000000"/>
                <w:sz w:val="20"/>
                <w:szCs w:val="20"/>
                <w:lang w:eastAsia="en-GB"/>
              </w:rPr>
              <w:br/>
              <w:t>Midlands</w:t>
            </w:r>
          </w:p>
        </w:tc>
        <w:tc>
          <w:tcPr>
            <w:tcW w:w="0" w:type="auto"/>
            <w:shd w:val="clear" w:color="auto" w:fill="DEEAF6" w:themeFill="accent1" w:themeFillTint="33"/>
            <w:noWrap/>
            <w:vAlign w:val="center"/>
          </w:tcPr>
          <w:p w14:paraId="25304156" w14:textId="77777777" w:rsidR="00346649" w:rsidRPr="00F37FDE" w:rsidRDefault="00346649" w:rsidP="008B5A87">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Eng</w:t>
            </w:r>
            <w:r w:rsidR="00A07A22" w:rsidRPr="00F37FDE">
              <w:rPr>
                <w:rFonts w:ascii="Verdana" w:eastAsia="Times New Roman" w:hAnsi="Verdana" w:cs="Arial"/>
                <w:b/>
                <w:color w:val="000000"/>
                <w:sz w:val="20"/>
                <w:szCs w:val="20"/>
                <w:lang w:eastAsia="en-GB"/>
              </w:rPr>
              <w:t>land</w:t>
            </w:r>
          </w:p>
        </w:tc>
      </w:tr>
      <w:tr w:rsidR="00A07A22" w:rsidRPr="00F37FDE" w14:paraId="437F49AA" w14:textId="77777777" w:rsidTr="00614D98">
        <w:trPr>
          <w:tblHeader/>
          <w:jc w:val="center"/>
        </w:trPr>
        <w:tc>
          <w:tcPr>
            <w:tcW w:w="4027" w:type="dxa"/>
            <w:vMerge/>
            <w:shd w:val="clear" w:color="auto" w:fill="DEEAF6" w:themeFill="accent1" w:themeFillTint="33"/>
            <w:noWrap/>
            <w:vAlign w:val="center"/>
          </w:tcPr>
          <w:p w14:paraId="15F33957" w14:textId="77777777" w:rsidR="00346649" w:rsidRPr="00F37FDE" w:rsidRDefault="00346649" w:rsidP="008B5A87">
            <w:pPr>
              <w:spacing w:after="0" w:line="240" w:lineRule="auto"/>
              <w:jc w:val="both"/>
              <w:rPr>
                <w:rFonts w:ascii="Verdana" w:eastAsia="Times New Roman" w:hAnsi="Verdana" w:cs="Arial"/>
                <w:b/>
                <w:color w:val="000000"/>
                <w:sz w:val="20"/>
                <w:szCs w:val="20"/>
                <w:lang w:eastAsia="en-GB"/>
              </w:rPr>
            </w:pPr>
          </w:p>
        </w:tc>
        <w:tc>
          <w:tcPr>
            <w:tcW w:w="858" w:type="dxa"/>
            <w:shd w:val="clear" w:color="auto" w:fill="DEEAF6" w:themeFill="accent1" w:themeFillTint="33"/>
            <w:noWrap/>
            <w:vAlign w:val="center"/>
          </w:tcPr>
          <w:p w14:paraId="2EEB7DEC" w14:textId="77777777" w:rsidR="00346649" w:rsidRPr="00F37FDE" w:rsidRDefault="00346649" w:rsidP="008B5A87">
            <w:pPr>
              <w:tabs>
                <w:tab w:val="left" w:pos="848"/>
              </w:tabs>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No</w:t>
            </w:r>
          </w:p>
        </w:tc>
        <w:tc>
          <w:tcPr>
            <w:tcW w:w="843" w:type="dxa"/>
            <w:shd w:val="clear" w:color="auto" w:fill="DEEAF6" w:themeFill="accent1" w:themeFillTint="33"/>
            <w:noWrap/>
            <w:vAlign w:val="center"/>
          </w:tcPr>
          <w:p w14:paraId="1B4A8CDF" w14:textId="77777777" w:rsidR="00346649" w:rsidRPr="00F37FDE" w:rsidRDefault="00346649" w:rsidP="008B5A87">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w:t>
            </w:r>
          </w:p>
        </w:tc>
        <w:tc>
          <w:tcPr>
            <w:tcW w:w="1234" w:type="dxa"/>
            <w:shd w:val="clear" w:color="auto" w:fill="DEEAF6" w:themeFill="accent1" w:themeFillTint="33"/>
            <w:noWrap/>
            <w:vAlign w:val="center"/>
          </w:tcPr>
          <w:p w14:paraId="160AFB17" w14:textId="77777777" w:rsidR="00346649" w:rsidRPr="00F37FDE" w:rsidRDefault="00346649" w:rsidP="008B5A87">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w:t>
            </w:r>
          </w:p>
        </w:tc>
        <w:tc>
          <w:tcPr>
            <w:tcW w:w="0" w:type="auto"/>
            <w:shd w:val="clear" w:color="auto" w:fill="DEEAF6" w:themeFill="accent1" w:themeFillTint="33"/>
            <w:noWrap/>
            <w:vAlign w:val="center"/>
          </w:tcPr>
          <w:p w14:paraId="3E4F5E0C" w14:textId="77777777" w:rsidR="00346649" w:rsidRPr="00F37FDE" w:rsidRDefault="00346649" w:rsidP="008B5A87">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w:t>
            </w:r>
          </w:p>
        </w:tc>
        <w:tc>
          <w:tcPr>
            <w:tcW w:w="0" w:type="auto"/>
            <w:shd w:val="clear" w:color="auto" w:fill="DEEAF6" w:themeFill="accent1" w:themeFillTint="33"/>
            <w:noWrap/>
            <w:vAlign w:val="center"/>
          </w:tcPr>
          <w:p w14:paraId="05D7D126" w14:textId="77777777" w:rsidR="00346649" w:rsidRPr="00F37FDE" w:rsidRDefault="00346649" w:rsidP="008B5A87">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w:t>
            </w:r>
          </w:p>
        </w:tc>
      </w:tr>
      <w:tr w:rsidR="000B4EFC" w:rsidRPr="00F37FDE" w14:paraId="21BB7728" w14:textId="77777777" w:rsidTr="000B4EFC">
        <w:trPr>
          <w:jc w:val="center"/>
        </w:trPr>
        <w:tc>
          <w:tcPr>
            <w:tcW w:w="4027" w:type="dxa"/>
            <w:shd w:val="clear" w:color="auto" w:fill="auto"/>
            <w:noWrap/>
            <w:vAlign w:val="center"/>
            <w:hideMark/>
          </w:tcPr>
          <w:p w14:paraId="0539D4B4" w14:textId="77777777" w:rsidR="000B4EFC" w:rsidRPr="00F37FDE" w:rsidRDefault="000B4EFC" w:rsidP="000B4EFC">
            <w:pPr>
              <w:spacing w:after="0" w:line="240" w:lineRule="auto"/>
              <w:jc w:val="right"/>
              <w:rPr>
                <w:rFonts w:ascii="Verdana" w:eastAsia="Times New Roman" w:hAnsi="Verdana" w:cs="Arial"/>
                <w:color w:val="000000"/>
                <w:sz w:val="20"/>
                <w:szCs w:val="20"/>
                <w:lang w:eastAsia="en-GB"/>
              </w:rPr>
            </w:pPr>
            <w:r w:rsidRPr="00F37FDE">
              <w:rPr>
                <w:rFonts w:ascii="Verdana" w:eastAsia="Times New Roman" w:hAnsi="Verdana" w:cs="Arial"/>
                <w:color w:val="000000"/>
                <w:sz w:val="20"/>
                <w:szCs w:val="20"/>
                <w:lang w:eastAsia="en-GB"/>
              </w:rPr>
              <w:t>All Usual Residents Aged 16 to 74</w:t>
            </w:r>
          </w:p>
        </w:tc>
        <w:tc>
          <w:tcPr>
            <w:tcW w:w="858" w:type="dxa"/>
            <w:shd w:val="clear" w:color="auto" w:fill="auto"/>
            <w:noWrap/>
            <w:vAlign w:val="center"/>
          </w:tcPr>
          <w:p w14:paraId="16A1BDFB" w14:textId="77777777" w:rsidR="000B4EFC" w:rsidRPr="00A61BD4" w:rsidRDefault="000B4EFC" w:rsidP="000B4EFC">
            <w:pPr>
              <w:tabs>
                <w:tab w:val="decimal" w:pos="408"/>
              </w:tabs>
              <w:spacing w:after="0" w:line="240" w:lineRule="auto"/>
              <w:rPr>
                <w:rFonts w:ascii="Verdana" w:hAnsi="Verdana" w:cs="Calibri"/>
                <w:color w:val="000000"/>
                <w:sz w:val="20"/>
                <w:szCs w:val="20"/>
              </w:rPr>
            </w:pPr>
            <w:r w:rsidRPr="00A61BD4">
              <w:rPr>
                <w:rFonts w:ascii="Verdana" w:hAnsi="Verdana" w:cs="Calibri"/>
                <w:color w:val="000000"/>
                <w:sz w:val="20"/>
                <w:szCs w:val="20"/>
              </w:rPr>
              <w:t>1,074</w:t>
            </w:r>
          </w:p>
        </w:tc>
        <w:tc>
          <w:tcPr>
            <w:tcW w:w="843" w:type="dxa"/>
            <w:shd w:val="clear" w:color="auto" w:fill="auto"/>
            <w:noWrap/>
            <w:vAlign w:val="center"/>
          </w:tcPr>
          <w:p w14:paraId="56020FB0" w14:textId="77777777" w:rsidR="000B4EFC" w:rsidRPr="00A61BD4" w:rsidRDefault="000B4EFC" w:rsidP="000B4EFC">
            <w:pPr>
              <w:tabs>
                <w:tab w:val="decimal" w:pos="270"/>
              </w:tabs>
              <w:spacing w:after="0" w:line="240" w:lineRule="auto"/>
              <w:rPr>
                <w:rFonts w:ascii="Verdana" w:hAnsi="Verdana" w:cs="Calibri"/>
                <w:color w:val="000000"/>
                <w:sz w:val="20"/>
                <w:szCs w:val="20"/>
              </w:rPr>
            </w:pPr>
            <w:r w:rsidRPr="00A61BD4">
              <w:rPr>
                <w:rFonts w:ascii="Verdana" w:hAnsi="Verdana" w:cs="Calibri"/>
                <w:color w:val="000000"/>
                <w:sz w:val="20"/>
                <w:szCs w:val="20"/>
              </w:rPr>
              <w:t>100.0</w:t>
            </w:r>
          </w:p>
        </w:tc>
        <w:tc>
          <w:tcPr>
            <w:tcW w:w="1234" w:type="dxa"/>
            <w:shd w:val="clear" w:color="auto" w:fill="auto"/>
            <w:noWrap/>
            <w:vAlign w:val="center"/>
          </w:tcPr>
          <w:p w14:paraId="2820B40C" w14:textId="01D140BD" w:rsidR="000B4EFC" w:rsidRPr="000B4EFC" w:rsidRDefault="000B4EFC" w:rsidP="000B4EFC">
            <w:pPr>
              <w:tabs>
                <w:tab w:val="decimal" w:pos="403"/>
              </w:tabs>
              <w:spacing w:after="0" w:line="240" w:lineRule="auto"/>
              <w:jc w:val="center"/>
              <w:rPr>
                <w:rFonts w:ascii="Verdana" w:hAnsi="Verdana" w:cs="Calibri"/>
                <w:color w:val="000000"/>
                <w:sz w:val="20"/>
                <w:szCs w:val="20"/>
              </w:rPr>
            </w:pPr>
            <w:r w:rsidRPr="000B4EFC">
              <w:rPr>
                <w:rFonts w:ascii="Verdana" w:hAnsi="Verdana" w:cs="Calibri"/>
                <w:color w:val="000000"/>
                <w:sz w:val="20"/>
                <w:szCs w:val="20"/>
              </w:rPr>
              <w:t>100.0</w:t>
            </w:r>
          </w:p>
        </w:tc>
        <w:tc>
          <w:tcPr>
            <w:tcW w:w="0" w:type="auto"/>
            <w:shd w:val="clear" w:color="auto" w:fill="auto"/>
            <w:noWrap/>
            <w:vAlign w:val="center"/>
          </w:tcPr>
          <w:p w14:paraId="09A7F36D" w14:textId="77777777" w:rsidR="000B4EFC" w:rsidRPr="00D8165E" w:rsidRDefault="000B4EFC" w:rsidP="000B4EFC">
            <w:pPr>
              <w:tabs>
                <w:tab w:val="decimal" w:pos="559"/>
              </w:tabs>
              <w:spacing w:after="0" w:line="240" w:lineRule="auto"/>
              <w:rPr>
                <w:rFonts w:ascii="Verdana" w:hAnsi="Verdana" w:cs="Calibri"/>
                <w:color w:val="000000"/>
                <w:sz w:val="20"/>
                <w:szCs w:val="20"/>
              </w:rPr>
            </w:pPr>
            <w:r w:rsidRPr="00D8165E">
              <w:rPr>
                <w:rFonts w:ascii="Verdana" w:hAnsi="Verdana" w:cs="Calibri"/>
                <w:color w:val="000000"/>
                <w:sz w:val="20"/>
                <w:szCs w:val="20"/>
              </w:rPr>
              <w:t>100.0</w:t>
            </w:r>
          </w:p>
        </w:tc>
        <w:tc>
          <w:tcPr>
            <w:tcW w:w="0" w:type="auto"/>
            <w:shd w:val="clear" w:color="auto" w:fill="auto"/>
            <w:noWrap/>
            <w:vAlign w:val="center"/>
          </w:tcPr>
          <w:p w14:paraId="0B323F85" w14:textId="77777777" w:rsidR="000B4EFC" w:rsidRPr="00D8165E" w:rsidRDefault="000B4EFC" w:rsidP="000B4EFC">
            <w:pPr>
              <w:tabs>
                <w:tab w:val="decimal" w:pos="492"/>
              </w:tabs>
              <w:spacing w:after="0" w:line="240" w:lineRule="auto"/>
              <w:rPr>
                <w:rFonts w:ascii="Verdana" w:hAnsi="Verdana" w:cs="Calibri"/>
                <w:color w:val="000000"/>
                <w:sz w:val="20"/>
                <w:szCs w:val="20"/>
              </w:rPr>
            </w:pPr>
            <w:r w:rsidRPr="00D8165E">
              <w:rPr>
                <w:rFonts w:ascii="Verdana" w:hAnsi="Verdana" w:cs="Calibri"/>
                <w:color w:val="000000"/>
                <w:sz w:val="20"/>
                <w:szCs w:val="20"/>
              </w:rPr>
              <w:t>100.0</w:t>
            </w:r>
          </w:p>
        </w:tc>
      </w:tr>
      <w:tr w:rsidR="000B4EFC" w:rsidRPr="00E31E13" w14:paraId="07A7C70F" w14:textId="77777777" w:rsidTr="000B4EFC">
        <w:trPr>
          <w:jc w:val="center"/>
        </w:trPr>
        <w:tc>
          <w:tcPr>
            <w:tcW w:w="4027" w:type="dxa"/>
            <w:shd w:val="clear" w:color="auto" w:fill="auto"/>
            <w:noWrap/>
            <w:vAlign w:val="bottom"/>
            <w:hideMark/>
          </w:tcPr>
          <w:p w14:paraId="2FD708F5" w14:textId="77777777" w:rsidR="000B4EFC" w:rsidRPr="0051560A" w:rsidRDefault="000B4EFC" w:rsidP="000B4EFC">
            <w:pPr>
              <w:spacing w:after="0" w:line="240" w:lineRule="auto"/>
              <w:jc w:val="right"/>
              <w:rPr>
                <w:rFonts w:ascii="Verdana" w:hAnsi="Verdana" w:cs="Calibri"/>
                <w:b/>
                <w:bCs/>
                <w:i/>
                <w:iCs/>
                <w:color w:val="000000"/>
                <w:sz w:val="20"/>
                <w:szCs w:val="20"/>
              </w:rPr>
            </w:pPr>
            <w:r w:rsidRPr="0051560A">
              <w:rPr>
                <w:rFonts w:ascii="Verdana" w:hAnsi="Verdana" w:cs="Calibri"/>
                <w:b/>
                <w:bCs/>
                <w:i/>
                <w:iCs/>
                <w:color w:val="000000"/>
                <w:sz w:val="20"/>
                <w:szCs w:val="20"/>
              </w:rPr>
              <w:t>Economically Active Total</w:t>
            </w:r>
          </w:p>
        </w:tc>
        <w:tc>
          <w:tcPr>
            <w:tcW w:w="858" w:type="dxa"/>
            <w:shd w:val="clear" w:color="auto" w:fill="auto"/>
            <w:noWrap/>
            <w:vAlign w:val="center"/>
          </w:tcPr>
          <w:p w14:paraId="677F6728" w14:textId="77777777" w:rsidR="000B4EFC" w:rsidRPr="00A61BD4" w:rsidRDefault="000B4EFC" w:rsidP="000B4EFC">
            <w:pPr>
              <w:tabs>
                <w:tab w:val="decimal" w:pos="408"/>
              </w:tabs>
              <w:spacing w:after="0" w:line="240" w:lineRule="auto"/>
              <w:rPr>
                <w:rFonts w:ascii="Verdana" w:hAnsi="Verdana" w:cs="Calibri"/>
                <w:b/>
                <w:bCs/>
                <w:i/>
                <w:iCs/>
                <w:color w:val="000000"/>
                <w:sz w:val="20"/>
                <w:szCs w:val="20"/>
              </w:rPr>
            </w:pPr>
            <w:r w:rsidRPr="00A61BD4">
              <w:rPr>
                <w:rFonts w:ascii="Verdana" w:hAnsi="Verdana" w:cs="Calibri"/>
                <w:b/>
                <w:bCs/>
                <w:i/>
                <w:iCs/>
                <w:color w:val="000000"/>
                <w:sz w:val="20"/>
                <w:szCs w:val="20"/>
              </w:rPr>
              <w:t>666</w:t>
            </w:r>
          </w:p>
        </w:tc>
        <w:tc>
          <w:tcPr>
            <w:tcW w:w="843" w:type="dxa"/>
            <w:shd w:val="clear" w:color="auto" w:fill="auto"/>
            <w:noWrap/>
            <w:vAlign w:val="center"/>
          </w:tcPr>
          <w:p w14:paraId="1DA566AA" w14:textId="77777777" w:rsidR="000B4EFC" w:rsidRPr="00A61BD4" w:rsidRDefault="000B4EFC" w:rsidP="000B4EFC">
            <w:pPr>
              <w:tabs>
                <w:tab w:val="decimal" w:pos="270"/>
              </w:tabs>
              <w:spacing w:after="0" w:line="240" w:lineRule="auto"/>
              <w:rPr>
                <w:rFonts w:ascii="Verdana" w:hAnsi="Verdana" w:cs="Calibri"/>
                <w:b/>
                <w:bCs/>
                <w:i/>
                <w:iCs/>
                <w:color w:val="000000"/>
                <w:sz w:val="20"/>
                <w:szCs w:val="20"/>
              </w:rPr>
            </w:pPr>
            <w:r w:rsidRPr="00A61BD4">
              <w:rPr>
                <w:rFonts w:ascii="Verdana" w:hAnsi="Verdana" w:cs="Calibri"/>
                <w:b/>
                <w:bCs/>
                <w:i/>
                <w:iCs/>
                <w:color w:val="000000"/>
                <w:sz w:val="20"/>
                <w:szCs w:val="20"/>
              </w:rPr>
              <w:t>62.0</w:t>
            </w:r>
          </w:p>
        </w:tc>
        <w:tc>
          <w:tcPr>
            <w:tcW w:w="1234" w:type="dxa"/>
            <w:shd w:val="clear" w:color="auto" w:fill="auto"/>
            <w:noWrap/>
            <w:vAlign w:val="center"/>
          </w:tcPr>
          <w:p w14:paraId="6D604845" w14:textId="3A069747" w:rsidR="000B4EFC" w:rsidRPr="000B4EFC" w:rsidRDefault="000B4EFC" w:rsidP="000B4EFC">
            <w:pPr>
              <w:tabs>
                <w:tab w:val="decimal" w:pos="403"/>
              </w:tabs>
              <w:spacing w:after="0" w:line="240" w:lineRule="auto"/>
              <w:jc w:val="center"/>
              <w:rPr>
                <w:rFonts w:ascii="Verdana" w:hAnsi="Verdana" w:cs="Calibri"/>
                <w:b/>
                <w:bCs/>
                <w:i/>
                <w:iCs/>
                <w:color w:val="000000"/>
                <w:sz w:val="20"/>
                <w:szCs w:val="20"/>
              </w:rPr>
            </w:pPr>
            <w:r w:rsidRPr="000B4EFC">
              <w:rPr>
                <w:rFonts w:ascii="Verdana" w:hAnsi="Verdana" w:cs="Calibri"/>
                <w:b/>
                <w:bCs/>
                <w:i/>
                <w:iCs/>
                <w:color w:val="000000"/>
                <w:sz w:val="20"/>
                <w:szCs w:val="20"/>
              </w:rPr>
              <w:t>71.5</w:t>
            </w:r>
          </w:p>
        </w:tc>
        <w:tc>
          <w:tcPr>
            <w:tcW w:w="0" w:type="auto"/>
            <w:shd w:val="clear" w:color="auto" w:fill="auto"/>
            <w:noWrap/>
            <w:vAlign w:val="center"/>
          </w:tcPr>
          <w:p w14:paraId="21C167F8" w14:textId="77777777" w:rsidR="000B4EFC" w:rsidRPr="005B5AD1" w:rsidRDefault="000B4EFC" w:rsidP="000B4EFC">
            <w:pPr>
              <w:tabs>
                <w:tab w:val="decimal" w:pos="559"/>
              </w:tabs>
              <w:spacing w:after="0" w:line="240" w:lineRule="auto"/>
              <w:rPr>
                <w:rFonts w:ascii="Verdana" w:hAnsi="Verdana" w:cs="Calibri"/>
                <w:b/>
                <w:i/>
                <w:color w:val="000000"/>
                <w:sz w:val="20"/>
                <w:szCs w:val="20"/>
              </w:rPr>
            </w:pPr>
            <w:r w:rsidRPr="005B5AD1">
              <w:rPr>
                <w:rFonts w:ascii="Verdana" w:hAnsi="Verdana" w:cs="Calibri"/>
                <w:b/>
                <w:i/>
                <w:color w:val="000000"/>
                <w:sz w:val="20"/>
                <w:szCs w:val="20"/>
              </w:rPr>
              <w:t>69.3</w:t>
            </w:r>
          </w:p>
        </w:tc>
        <w:tc>
          <w:tcPr>
            <w:tcW w:w="0" w:type="auto"/>
            <w:shd w:val="clear" w:color="auto" w:fill="auto"/>
            <w:noWrap/>
            <w:vAlign w:val="center"/>
          </w:tcPr>
          <w:p w14:paraId="13BE53F6" w14:textId="77777777" w:rsidR="000B4EFC" w:rsidRPr="005B5AD1" w:rsidRDefault="000B4EFC" w:rsidP="000B4EFC">
            <w:pPr>
              <w:tabs>
                <w:tab w:val="decimal" w:pos="492"/>
              </w:tabs>
              <w:spacing w:after="0" w:line="240" w:lineRule="auto"/>
              <w:rPr>
                <w:rFonts w:ascii="Verdana" w:hAnsi="Verdana" w:cs="Calibri"/>
                <w:b/>
                <w:i/>
                <w:color w:val="000000"/>
                <w:sz w:val="20"/>
                <w:szCs w:val="20"/>
              </w:rPr>
            </w:pPr>
            <w:r w:rsidRPr="005B5AD1">
              <w:rPr>
                <w:rFonts w:ascii="Verdana" w:hAnsi="Verdana" w:cs="Calibri"/>
                <w:b/>
                <w:i/>
                <w:color w:val="000000"/>
                <w:sz w:val="20"/>
                <w:szCs w:val="20"/>
              </w:rPr>
              <w:t>69.9</w:t>
            </w:r>
          </w:p>
        </w:tc>
      </w:tr>
      <w:tr w:rsidR="000B4EFC" w:rsidRPr="00F37FDE" w14:paraId="492859B8" w14:textId="77777777" w:rsidTr="000B4EFC">
        <w:trPr>
          <w:jc w:val="center"/>
        </w:trPr>
        <w:tc>
          <w:tcPr>
            <w:tcW w:w="4027" w:type="dxa"/>
            <w:shd w:val="clear" w:color="auto" w:fill="auto"/>
            <w:noWrap/>
            <w:vAlign w:val="bottom"/>
            <w:hideMark/>
          </w:tcPr>
          <w:p w14:paraId="4A8C30E3" w14:textId="77777777" w:rsidR="000B4EFC" w:rsidRPr="0051560A" w:rsidRDefault="000B4EFC" w:rsidP="000B4EFC">
            <w:pPr>
              <w:spacing w:after="0" w:line="240" w:lineRule="auto"/>
              <w:jc w:val="right"/>
              <w:rPr>
                <w:rFonts w:ascii="Verdana" w:hAnsi="Verdana" w:cs="Calibri"/>
                <w:color w:val="000000"/>
                <w:sz w:val="20"/>
                <w:szCs w:val="20"/>
              </w:rPr>
            </w:pPr>
            <w:r w:rsidRPr="0051560A">
              <w:rPr>
                <w:rFonts w:ascii="Verdana" w:hAnsi="Verdana" w:cs="Calibri"/>
                <w:color w:val="000000"/>
                <w:sz w:val="20"/>
                <w:szCs w:val="20"/>
              </w:rPr>
              <w:t>Employee, Part-time</w:t>
            </w:r>
          </w:p>
        </w:tc>
        <w:tc>
          <w:tcPr>
            <w:tcW w:w="858" w:type="dxa"/>
            <w:shd w:val="clear" w:color="auto" w:fill="auto"/>
            <w:noWrap/>
            <w:vAlign w:val="center"/>
          </w:tcPr>
          <w:p w14:paraId="7F3C5545" w14:textId="77777777" w:rsidR="000B4EFC" w:rsidRPr="00A61BD4" w:rsidRDefault="000B4EFC" w:rsidP="000B4EFC">
            <w:pPr>
              <w:tabs>
                <w:tab w:val="decimal" w:pos="408"/>
              </w:tabs>
              <w:spacing w:after="0" w:line="240" w:lineRule="auto"/>
              <w:rPr>
                <w:rFonts w:ascii="Verdana" w:hAnsi="Verdana" w:cs="Calibri"/>
                <w:color w:val="000000"/>
                <w:sz w:val="20"/>
                <w:szCs w:val="20"/>
              </w:rPr>
            </w:pPr>
            <w:r w:rsidRPr="00A61BD4">
              <w:rPr>
                <w:rFonts w:ascii="Verdana" w:hAnsi="Verdana" w:cs="Calibri"/>
                <w:color w:val="000000"/>
                <w:sz w:val="20"/>
                <w:szCs w:val="20"/>
              </w:rPr>
              <w:t>147</w:t>
            </w:r>
          </w:p>
        </w:tc>
        <w:tc>
          <w:tcPr>
            <w:tcW w:w="843" w:type="dxa"/>
            <w:shd w:val="clear" w:color="auto" w:fill="auto"/>
            <w:noWrap/>
            <w:vAlign w:val="center"/>
          </w:tcPr>
          <w:p w14:paraId="48A02BFB" w14:textId="77777777" w:rsidR="000B4EFC" w:rsidRPr="00A61BD4" w:rsidRDefault="000B4EFC" w:rsidP="000B4EFC">
            <w:pPr>
              <w:tabs>
                <w:tab w:val="decimal" w:pos="270"/>
              </w:tabs>
              <w:spacing w:after="0" w:line="240" w:lineRule="auto"/>
              <w:rPr>
                <w:rFonts w:ascii="Verdana" w:hAnsi="Verdana" w:cs="Calibri"/>
                <w:color w:val="000000"/>
                <w:sz w:val="20"/>
                <w:szCs w:val="20"/>
              </w:rPr>
            </w:pPr>
            <w:r w:rsidRPr="00A61BD4">
              <w:rPr>
                <w:rFonts w:ascii="Verdana" w:hAnsi="Verdana" w:cs="Calibri"/>
                <w:color w:val="000000"/>
                <w:sz w:val="20"/>
                <w:szCs w:val="20"/>
              </w:rPr>
              <w:t>13.7</w:t>
            </w:r>
          </w:p>
        </w:tc>
        <w:tc>
          <w:tcPr>
            <w:tcW w:w="1234" w:type="dxa"/>
            <w:shd w:val="clear" w:color="auto" w:fill="auto"/>
            <w:noWrap/>
            <w:vAlign w:val="center"/>
          </w:tcPr>
          <w:p w14:paraId="43C41606" w14:textId="030BA5BD" w:rsidR="000B4EFC" w:rsidRPr="000B4EFC" w:rsidRDefault="000B4EFC" w:rsidP="000B4EFC">
            <w:pPr>
              <w:tabs>
                <w:tab w:val="decimal" w:pos="403"/>
              </w:tabs>
              <w:spacing w:after="0" w:line="240" w:lineRule="auto"/>
              <w:jc w:val="center"/>
              <w:rPr>
                <w:rFonts w:ascii="Verdana" w:hAnsi="Verdana" w:cs="Calibri"/>
                <w:color w:val="000000"/>
                <w:sz w:val="20"/>
                <w:szCs w:val="20"/>
              </w:rPr>
            </w:pPr>
            <w:r w:rsidRPr="000B4EFC">
              <w:rPr>
                <w:rFonts w:ascii="Verdana" w:hAnsi="Verdana" w:cs="Calibri"/>
                <w:color w:val="000000"/>
                <w:sz w:val="20"/>
                <w:szCs w:val="20"/>
              </w:rPr>
              <w:t>14.4</w:t>
            </w:r>
          </w:p>
        </w:tc>
        <w:tc>
          <w:tcPr>
            <w:tcW w:w="0" w:type="auto"/>
            <w:shd w:val="clear" w:color="auto" w:fill="auto"/>
            <w:noWrap/>
            <w:vAlign w:val="center"/>
          </w:tcPr>
          <w:p w14:paraId="548DB5DA" w14:textId="77777777" w:rsidR="000B4EFC" w:rsidRPr="00D8165E" w:rsidRDefault="000B4EFC" w:rsidP="000B4EFC">
            <w:pPr>
              <w:tabs>
                <w:tab w:val="decimal" w:pos="559"/>
              </w:tabs>
              <w:spacing w:after="0" w:line="240" w:lineRule="auto"/>
              <w:rPr>
                <w:rFonts w:ascii="Verdana" w:hAnsi="Verdana" w:cs="Calibri"/>
                <w:color w:val="000000"/>
                <w:sz w:val="20"/>
                <w:szCs w:val="20"/>
              </w:rPr>
            </w:pPr>
            <w:r w:rsidRPr="00D8165E">
              <w:rPr>
                <w:rFonts w:ascii="Verdana" w:hAnsi="Verdana" w:cs="Calibri"/>
                <w:color w:val="000000"/>
                <w:sz w:val="20"/>
                <w:szCs w:val="20"/>
              </w:rPr>
              <w:t>38.8</w:t>
            </w:r>
          </w:p>
        </w:tc>
        <w:tc>
          <w:tcPr>
            <w:tcW w:w="0" w:type="auto"/>
            <w:shd w:val="clear" w:color="auto" w:fill="auto"/>
            <w:noWrap/>
            <w:vAlign w:val="center"/>
          </w:tcPr>
          <w:p w14:paraId="5B864595" w14:textId="77777777" w:rsidR="000B4EFC" w:rsidRPr="00D8165E" w:rsidRDefault="000B4EFC" w:rsidP="000B4EFC">
            <w:pPr>
              <w:tabs>
                <w:tab w:val="decimal" w:pos="492"/>
              </w:tabs>
              <w:spacing w:after="0" w:line="240" w:lineRule="auto"/>
              <w:rPr>
                <w:rFonts w:ascii="Verdana" w:hAnsi="Verdana" w:cs="Calibri"/>
                <w:color w:val="000000"/>
                <w:sz w:val="20"/>
                <w:szCs w:val="20"/>
              </w:rPr>
            </w:pPr>
            <w:r w:rsidRPr="00D8165E">
              <w:rPr>
                <w:rFonts w:ascii="Verdana" w:hAnsi="Verdana" w:cs="Calibri"/>
                <w:color w:val="000000"/>
                <w:sz w:val="20"/>
                <w:szCs w:val="20"/>
              </w:rPr>
              <w:t>38.6</w:t>
            </w:r>
          </w:p>
        </w:tc>
      </w:tr>
      <w:tr w:rsidR="000B4EFC" w:rsidRPr="00F37FDE" w14:paraId="2688054D" w14:textId="77777777" w:rsidTr="000B4EFC">
        <w:trPr>
          <w:jc w:val="center"/>
        </w:trPr>
        <w:tc>
          <w:tcPr>
            <w:tcW w:w="4027" w:type="dxa"/>
            <w:shd w:val="clear" w:color="auto" w:fill="auto"/>
            <w:noWrap/>
            <w:vAlign w:val="bottom"/>
            <w:hideMark/>
          </w:tcPr>
          <w:p w14:paraId="2C06B399" w14:textId="77777777" w:rsidR="000B4EFC" w:rsidRPr="0051560A" w:rsidRDefault="000B4EFC" w:rsidP="000B4EFC">
            <w:pPr>
              <w:spacing w:after="0" w:line="240" w:lineRule="auto"/>
              <w:jc w:val="right"/>
              <w:rPr>
                <w:rFonts w:ascii="Verdana" w:hAnsi="Verdana" w:cs="Calibri"/>
                <w:color w:val="000000"/>
                <w:sz w:val="20"/>
                <w:szCs w:val="20"/>
              </w:rPr>
            </w:pPr>
            <w:r w:rsidRPr="0051560A">
              <w:rPr>
                <w:rFonts w:ascii="Verdana" w:hAnsi="Verdana" w:cs="Calibri"/>
                <w:color w:val="000000"/>
                <w:sz w:val="20"/>
                <w:szCs w:val="20"/>
              </w:rPr>
              <w:t>Employee, Full-time</w:t>
            </w:r>
          </w:p>
        </w:tc>
        <w:tc>
          <w:tcPr>
            <w:tcW w:w="858" w:type="dxa"/>
            <w:shd w:val="clear" w:color="auto" w:fill="auto"/>
            <w:noWrap/>
            <w:vAlign w:val="center"/>
          </w:tcPr>
          <w:p w14:paraId="1824C090" w14:textId="77777777" w:rsidR="000B4EFC" w:rsidRPr="00A61BD4" w:rsidRDefault="000B4EFC" w:rsidP="000B4EFC">
            <w:pPr>
              <w:tabs>
                <w:tab w:val="decimal" w:pos="408"/>
              </w:tabs>
              <w:spacing w:after="0" w:line="240" w:lineRule="auto"/>
              <w:rPr>
                <w:rFonts w:ascii="Verdana" w:hAnsi="Verdana" w:cs="Calibri"/>
                <w:color w:val="000000"/>
                <w:sz w:val="20"/>
                <w:szCs w:val="20"/>
              </w:rPr>
            </w:pPr>
            <w:r w:rsidRPr="00A61BD4">
              <w:rPr>
                <w:rFonts w:ascii="Verdana" w:hAnsi="Verdana" w:cs="Calibri"/>
                <w:color w:val="000000"/>
                <w:sz w:val="20"/>
                <w:szCs w:val="20"/>
              </w:rPr>
              <w:t>364</w:t>
            </w:r>
          </w:p>
        </w:tc>
        <w:tc>
          <w:tcPr>
            <w:tcW w:w="843" w:type="dxa"/>
            <w:shd w:val="clear" w:color="auto" w:fill="auto"/>
            <w:noWrap/>
            <w:vAlign w:val="center"/>
          </w:tcPr>
          <w:p w14:paraId="54FC0ED5" w14:textId="77777777" w:rsidR="000B4EFC" w:rsidRPr="00A61BD4" w:rsidRDefault="000B4EFC" w:rsidP="000B4EFC">
            <w:pPr>
              <w:tabs>
                <w:tab w:val="decimal" w:pos="270"/>
              </w:tabs>
              <w:spacing w:after="0" w:line="240" w:lineRule="auto"/>
              <w:rPr>
                <w:rFonts w:ascii="Verdana" w:hAnsi="Verdana" w:cs="Calibri"/>
                <w:color w:val="000000"/>
                <w:sz w:val="20"/>
                <w:szCs w:val="20"/>
              </w:rPr>
            </w:pPr>
            <w:r w:rsidRPr="00A61BD4">
              <w:rPr>
                <w:rFonts w:ascii="Verdana" w:hAnsi="Verdana" w:cs="Calibri"/>
                <w:color w:val="000000"/>
                <w:sz w:val="20"/>
                <w:szCs w:val="20"/>
              </w:rPr>
              <w:t>33.9</w:t>
            </w:r>
          </w:p>
        </w:tc>
        <w:tc>
          <w:tcPr>
            <w:tcW w:w="1234" w:type="dxa"/>
            <w:shd w:val="clear" w:color="auto" w:fill="auto"/>
            <w:noWrap/>
            <w:vAlign w:val="center"/>
          </w:tcPr>
          <w:p w14:paraId="64D1D5E5" w14:textId="258E2584" w:rsidR="000B4EFC" w:rsidRPr="000B4EFC" w:rsidRDefault="000B4EFC" w:rsidP="000B4EFC">
            <w:pPr>
              <w:tabs>
                <w:tab w:val="decimal" w:pos="403"/>
              </w:tabs>
              <w:spacing w:after="0" w:line="240" w:lineRule="auto"/>
              <w:jc w:val="center"/>
              <w:rPr>
                <w:rFonts w:ascii="Verdana" w:hAnsi="Verdana" w:cs="Calibri"/>
                <w:color w:val="000000"/>
                <w:sz w:val="20"/>
                <w:szCs w:val="20"/>
              </w:rPr>
            </w:pPr>
            <w:r w:rsidRPr="000B4EFC">
              <w:rPr>
                <w:rFonts w:ascii="Verdana" w:hAnsi="Verdana" w:cs="Calibri"/>
                <w:color w:val="000000"/>
                <w:sz w:val="20"/>
                <w:szCs w:val="20"/>
              </w:rPr>
              <w:t>42.0</w:t>
            </w:r>
          </w:p>
        </w:tc>
        <w:tc>
          <w:tcPr>
            <w:tcW w:w="0" w:type="auto"/>
            <w:shd w:val="clear" w:color="auto" w:fill="auto"/>
            <w:noWrap/>
            <w:vAlign w:val="center"/>
          </w:tcPr>
          <w:p w14:paraId="6107AE32" w14:textId="77777777" w:rsidR="000B4EFC" w:rsidRPr="00D8165E" w:rsidRDefault="000B4EFC" w:rsidP="000B4EFC">
            <w:pPr>
              <w:tabs>
                <w:tab w:val="decimal" w:pos="559"/>
              </w:tabs>
              <w:spacing w:after="0" w:line="240" w:lineRule="auto"/>
              <w:rPr>
                <w:rFonts w:ascii="Verdana" w:hAnsi="Verdana" w:cs="Calibri"/>
                <w:color w:val="000000"/>
                <w:sz w:val="20"/>
                <w:szCs w:val="20"/>
              </w:rPr>
            </w:pPr>
            <w:r w:rsidRPr="00D8165E">
              <w:rPr>
                <w:rFonts w:ascii="Verdana" w:hAnsi="Verdana" w:cs="Calibri"/>
                <w:color w:val="000000"/>
                <w:sz w:val="20"/>
                <w:szCs w:val="20"/>
              </w:rPr>
              <w:t>14.4</w:t>
            </w:r>
          </w:p>
        </w:tc>
        <w:tc>
          <w:tcPr>
            <w:tcW w:w="0" w:type="auto"/>
            <w:shd w:val="clear" w:color="auto" w:fill="auto"/>
            <w:noWrap/>
            <w:vAlign w:val="center"/>
          </w:tcPr>
          <w:p w14:paraId="7EB2A59A" w14:textId="77777777" w:rsidR="000B4EFC" w:rsidRPr="00D8165E" w:rsidRDefault="000B4EFC" w:rsidP="000B4EFC">
            <w:pPr>
              <w:tabs>
                <w:tab w:val="decimal" w:pos="492"/>
              </w:tabs>
              <w:spacing w:after="0" w:line="240" w:lineRule="auto"/>
              <w:rPr>
                <w:rFonts w:ascii="Verdana" w:hAnsi="Verdana" w:cs="Calibri"/>
                <w:color w:val="000000"/>
                <w:sz w:val="20"/>
                <w:szCs w:val="20"/>
              </w:rPr>
            </w:pPr>
            <w:r w:rsidRPr="00D8165E">
              <w:rPr>
                <w:rFonts w:ascii="Verdana" w:hAnsi="Verdana" w:cs="Calibri"/>
                <w:color w:val="000000"/>
                <w:sz w:val="20"/>
                <w:szCs w:val="20"/>
              </w:rPr>
              <w:t>13.7</w:t>
            </w:r>
          </w:p>
        </w:tc>
      </w:tr>
      <w:tr w:rsidR="000B4EFC" w:rsidRPr="00F37FDE" w14:paraId="3A2FBDBA" w14:textId="77777777" w:rsidTr="000B4EFC">
        <w:trPr>
          <w:jc w:val="center"/>
        </w:trPr>
        <w:tc>
          <w:tcPr>
            <w:tcW w:w="4027" w:type="dxa"/>
            <w:shd w:val="clear" w:color="auto" w:fill="auto"/>
            <w:noWrap/>
            <w:vAlign w:val="bottom"/>
            <w:hideMark/>
          </w:tcPr>
          <w:p w14:paraId="4B40144B" w14:textId="77777777" w:rsidR="000B4EFC" w:rsidRPr="0051560A" w:rsidRDefault="000B4EFC" w:rsidP="000B4EFC">
            <w:pPr>
              <w:spacing w:after="0" w:line="240" w:lineRule="auto"/>
              <w:jc w:val="right"/>
              <w:rPr>
                <w:rFonts w:ascii="Verdana" w:hAnsi="Verdana" w:cs="Calibri"/>
                <w:color w:val="000000"/>
                <w:sz w:val="20"/>
                <w:szCs w:val="20"/>
              </w:rPr>
            </w:pPr>
            <w:r w:rsidRPr="0051560A">
              <w:rPr>
                <w:rFonts w:ascii="Verdana" w:hAnsi="Verdana" w:cs="Calibri"/>
                <w:color w:val="000000"/>
                <w:sz w:val="20"/>
                <w:szCs w:val="20"/>
              </w:rPr>
              <w:t>Self Employed</w:t>
            </w:r>
          </w:p>
        </w:tc>
        <w:tc>
          <w:tcPr>
            <w:tcW w:w="858" w:type="dxa"/>
            <w:shd w:val="clear" w:color="auto" w:fill="auto"/>
            <w:noWrap/>
            <w:vAlign w:val="center"/>
          </w:tcPr>
          <w:p w14:paraId="7457595C" w14:textId="77777777" w:rsidR="000B4EFC" w:rsidRPr="00A61BD4" w:rsidRDefault="000B4EFC" w:rsidP="000B4EFC">
            <w:pPr>
              <w:tabs>
                <w:tab w:val="decimal" w:pos="408"/>
              </w:tabs>
              <w:spacing w:after="0" w:line="240" w:lineRule="auto"/>
              <w:rPr>
                <w:rFonts w:ascii="Verdana" w:hAnsi="Verdana" w:cs="Calibri"/>
                <w:color w:val="000000"/>
                <w:sz w:val="20"/>
                <w:szCs w:val="20"/>
              </w:rPr>
            </w:pPr>
            <w:r w:rsidRPr="00A61BD4">
              <w:rPr>
                <w:rFonts w:ascii="Verdana" w:hAnsi="Verdana" w:cs="Calibri"/>
                <w:color w:val="000000"/>
                <w:sz w:val="20"/>
                <w:szCs w:val="20"/>
              </w:rPr>
              <w:t>97</w:t>
            </w:r>
          </w:p>
        </w:tc>
        <w:tc>
          <w:tcPr>
            <w:tcW w:w="843" w:type="dxa"/>
            <w:shd w:val="clear" w:color="auto" w:fill="auto"/>
            <w:noWrap/>
            <w:vAlign w:val="center"/>
          </w:tcPr>
          <w:p w14:paraId="560C0FA3" w14:textId="77777777" w:rsidR="000B4EFC" w:rsidRPr="00A61BD4" w:rsidRDefault="000B4EFC" w:rsidP="000B4EFC">
            <w:pPr>
              <w:tabs>
                <w:tab w:val="decimal" w:pos="270"/>
              </w:tabs>
              <w:spacing w:after="0" w:line="240" w:lineRule="auto"/>
              <w:rPr>
                <w:rFonts w:ascii="Verdana" w:hAnsi="Verdana" w:cs="Calibri"/>
                <w:color w:val="000000"/>
                <w:sz w:val="20"/>
                <w:szCs w:val="20"/>
              </w:rPr>
            </w:pPr>
            <w:r w:rsidRPr="00A61BD4">
              <w:rPr>
                <w:rFonts w:ascii="Verdana" w:hAnsi="Verdana" w:cs="Calibri"/>
                <w:color w:val="000000"/>
                <w:sz w:val="20"/>
                <w:szCs w:val="20"/>
              </w:rPr>
              <w:t>9.0</w:t>
            </w:r>
          </w:p>
        </w:tc>
        <w:tc>
          <w:tcPr>
            <w:tcW w:w="1234" w:type="dxa"/>
            <w:shd w:val="clear" w:color="auto" w:fill="auto"/>
            <w:noWrap/>
            <w:vAlign w:val="center"/>
          </w:tcPr>
          <w:p w14:paraId="27C0CBBD" w14:textId="52C1767E" w:rsidR="000B4EFC" w:rsidRPr="000B4EFC" w:rsidRDefault="000B4EFC" w:rsidP="000B4EFC">
            <w:pPr>
              <w:tabs>
                <w:tab w:val="decimal" w:pos="403"/>
              </w:tabs>
              <w:spacing w:after="0" w:line="240" w:lineRule="auto"/>
              <w:jc w:val="center"/>
              <w:rPr>
                <w:rFonts w:ascii="Verdana" w:hAnsi="Verdana" w:cs="Calibri"/>
                <w:color w:val="000000"/>
                <w:sz w:val="20"/>
                <w:szCs w:val="20"/>
              </w:rPr>
            </w:pPr>
            <w:r w:rsidRPr="000B4EFC">
              <w:rPr>
                <w:rFonts w:ascii="Verdana" w:hAnsi="Verdana" w:cs="Calibri"/>
                <w:color w:val="000000"/>
                <w:sz w:val="20"/>
                <w:szCs w:val="20"/>
              </w:rPr>
              <w:t>9.3</w:t>
            </w:r>
          </w:p>
        </w:tc>
        <w:tc>
          <w:tcPr>
            <w:tcW w:w="0" w:type="auto"/>
            <w:shd w:val="clear" w:color="auto" w:fill="auto"/>
            <w:noWrap/>
            <w:vAlign w:val="center"/>
          </w:tcPr>
          <w:p w14:paraId="2A54DE3D" w14:textId="77777777" w:rsidR="000B4EFC" w:rsidRPr="00D8165E" w:rsidRDefault="000B4EFC" w:rsidP="000B4EFC">
            <w:pPr>
              <w:tabs>
                <w:tab w:val="decimal" w:pos="559"/>
              </w:tabs>
              <w:spacing w:after="0" w:line="240" w:lineRule="auto"/>
              <w:rPr>
                <w:rFonts w:ascii="Verdana" w:hAnsi="Verdana" w:cs="Calibri"/>
                <w:color w:val="000000"/>
                <w:sz w:val="20"/>
                <w:szCs w:val="20"/>
              </w:rPr>
            </w:pPr>
            <w:r w:rsidRPr="00D8165E">
              <w:rPr>
                <w:rFonts w:ascii="Verdana" w:hAnsi="Verdana" w:cs="Calibri"/>
                <w:color w:val="000000"/>
                <w:sz w:val="20"/>
                <w:szCs w:val="20"/>
              </w:rPr>
              <w:t>8.7</w:t>
            </w:r>
          </w:p>
        </w:tc>
        <w:tc>
          <w:tcPr>
            <w:tcW w:w="0" w:type="auto"/>
            <w:shd w:val="clear" w:color="auto" w:fill="auto"/>
            <w:noWrap/>
            <w:vAlign w:val="center"/>
          </w:tcPr>
          <w:p w14:paraId="14DE9611" w14:textId="77777777" w:rsidR="000B4EFC" w:rsidRPr="00D8165E" w:rsidRDefault="000B4EFC" w:rsidP="000B4EFC">
            <w:pPr>
              <w:tabs>
                <w:tab w:val="decimal" w:pos="492"/>
              </w:tabs>
              <w:spacing w:after="0" w:line="240" w:lineRule="auto"/>
              <w:rPr>
                <w:rFonts w:ascii="Verdana" w:hAnsi="Verdana" w:cs="Calibri"/>
                <w:color w:val="000000"/>
                <w:sz w:val="20"/>
                <w:szCs w:val="20"/>
              </w:rPr>
            </w:pPr>
            <w:r w:rsidRPr="00D8165E">
              <w:rPr>
                <w:rFonts w:ascii="Verdana" w:hAnsi="Verdana" w:cs="Calibri"/>
                <w:color w:val="000000"/>
                <w:sz w:val="20"/>
                <w:szCs w:val="20"/>
              </w:rPr>
              <w:t>9.8</w:t>
            </w:r>
          </w:p>
        </w:tc>
      </w:tr>
      <w:tr w:rsidR="000B4EFC" w:rsidRPr="00F37FDE" w14:paraId="2A83AC20" w14:textId="77777777" w:rsidTr="000B4EFC">
        <w:trPr>
          <w:jc w:val="center"/>
        </w:trPr>
        <w:tc>
          <w:tcPr>
            <w:tcW w:w="4027" w:type="dxa"/>
            <w:shd w:val="clear" w:color="auto" w:fill="auto"/>
            <w:noWrap/>
            <w:vAlign w:val="bottom"/>
            <w:hideMark/>
          </w:tcPr>
          <w:p w14:paraId="548E6136" w14:textId="77777777" w:rsidR="000B4EFC" w:rsidRPr="0051560A" w:rsidRDefault="000B4EFC" w:rsidP="000B4EFC">
            <w:pPr>
              <w:spacing w:after="0" w:line="240" w:lineRule="auto"/>
              <w:jc w:val="right"/>
              <w:rPr>
                <w:rFonts w:ascii="Verdana" w:hAnsi="Verdana" w:cs="Calibri"/>
                <w:color w:val="000000"/>
                <w:sz w:val="20"/>
                <w:szCs w:val="20"/>
              </w:rPr>
            </w:pPr>
            <w:r w:rsidRPr="0051560A">
              <w:rPr>
                <w:rFonts w:ascii="Verdana" w:hAnsi="Verdana" w:cs="Calibri"/>
                <w:color w:val="000000"/>
                <w:sz w:val="20"/>
                <w:szCs w:val="20"/>
              </w:rPr>
              <w:t>Unemployed</w:t>
            </w:r>
          </w:p>
        </w:tc>
        <w:tc>
          <w:tcPr>
            <w:tcW w:w="858" w:type="dxa"/>
            <w:shd w:val="clear" w:color="auto" w:fill="auto"/>
            <w:noWrap/>
            <w:vAlign w:val="center"/>
          </w:tcPr>
          <w:p w14:paraId="753429E2" w14:textId="77777777" w:rsidR="000B4EFC" w:rsidRPr="00A61BD4" w:rsidRDefault="000B4EFC" w:rsidP="000B4EFC">
            <w:pPr>
              <w:tabs>
                <w:tab w:val="decimal" w:pos="408"/>
              </w:tabs>
              <w:spacing w:after="0" w:line="240" w:lineRule="auto"/>
              <w:rPr>
                <w:rFonts w:ascii="Verdana" w:hAnsi="Verdana" w:cs="Calibri"/>
                <w:color w:val="000000"/>
                <w:sz w:val="20"/>
                <w:szCs w:val="20"/>
              </w:rPr>
            </w:pPr>
            <w:r w:rsidRPr="00A61BD4">
              <w:rPr>
                <w:rFonts w:ascii="Verdana" w:hAnsi="Verdana" w:cs="Calibri"/>
                <w:color w:val="000000"/>
                <w:sz w:val="20"/>
                <w:szCs w:val="20"/>
              </w:rPr>
              <w:t>34</w:t>
            </w:r>
          </w:p>
        </w:tc>
        <w:tc>
          <w:tcPr>
            <w:tcW w:w="843" w:type="dxa"/>
            <w:shd w:val="clear" w:color="auto" w:fill="auto"/>
            <w:noWrap/>
            <w:vAlign w:val="center"/>
          </w:tcPr>
          <w:p w14:paraId="6D37B810" w14:textId="77777777" w:rsidR="000B4EFC" w:rsidRPr="00A61BD4" w:rsidRDefault="000B4EFC" w:rsidP="000B4EFC">
            <w:pPr>
              <w:tabs>
                <w:tab w:val="decimal" w:pos="270"/>
              </w:tabs>
              <w:spacing w:after="0" w:line="240" w:lineRule="auto"/>
              <w:rPr>
                <w:rFonts w:ascii="Verdana" w:hAnsi="Verdana" w:cs="Calibri"/>
                <w:color w:val="000000"/>
                <w:sz w:val="20"/>
                <w:szCs w:val="20"/>
              </w:rPr>
            </w:pPr>
            <w:r w:rsidRPr="00A61BD4">
              <w:rPr>
                <w:rFonts w:ascii="Verdana" w:hAnsi="Verdana" w:cs="Calibri"/>
                <w:color w:val="000000"/>
                <w:sz w:val="20"/>
                <w:szCs w:val="20"/>
              </w:rPr>
              <w:t>3.2</w:t>
            </w:r>
          </w:p>
        </w:tc>
        <w:tc>
          <w:tcPr>
            <w:tcW w:w="1234" w:type="dxa"/>
            <w:shd w:val="clear" w:color="auto" w:fill="auto"/>
            <w:noWrap/>
            <w:vAlign w:val="center"/>
          </w:tcPr>
          <w:p w14:paraId="0D9D2C7C" w14:textId="03F527C3" w:rsidR="000B4EFC" w:rsidRPr="000B4EFC" w:rsidRDefault="000B4EFC" w:rsidP="000B4EFC">
            <w:pPr>
              <w:tabs>
                <w:tab w:val="decimal" w:pos="403"/>
              </w:tabs>
              <w:spacing w:after="0" w:line="240" w:lineRule="auto"/>
              <w:jc w:val="center"/>
              <w:rPr>
                <w:rFonts w:ascii="Verdana" w:hAnsi="Verdana" w:cs="Calibri"/>
                <w:color w:val="000000"/>
                <w:sz w:val="20"/>
                <w:szCs w:val="20"/>
              </w:rPr>
            </w:pPr>
            <w:r w:rsidRPr="000B4EFC">
              <w:rPr>
                <w:rFonts w:ascii="Verdana" w:hAnsi="Verdana" w:cs="Calibri"/>
                <w:color w:val="000000"/>
                <w:sz w:val="20"/>
                <w:szCs w:val="20"/>
              </w:rPr>
              <w:t>3.4</w:t>
            </w:r>
          </w:p>
        </w:tc>
        <w:tc>
          <w:tcPr>
            <w:tcW w:w="0" w:type="auto"/>
            <w:shd w:val="clear" w:color="auto" w:fill="auto"/>
            <w:noWrap/>
            <w:vAlign w:val="center"/>
          </w:tcPr>
          <w:p w14:paraId="61C04F76" w14:textId="77777777" w:rsidR="000B4EFC" w:rsidRPr="00D8165E" w:rsidRDefault="000B4EFC" w:rsidP="000B4EFC">
            <w:pPr>
              <w:tabs>
                <w:tab w:val="decimal" w:pos="559"/>
              </w:tabs>
              <w:spacing w:after="0" w:line="240" w:lineRule="auto"/>
              <w:rPr>
                <w:rFonts w:ascii="Verdana" w:hAnsi="Verdana" w:cs="Calibri"/>
                <w:color w:val="000000"/>
                <w:sz w:val="20"/>
                <w:szCs w:val="20"/>
              </w:rPr>
            </w:pPr>
            <w:r w:rsidRPr="00D8165E">
              <w:rPr>
                <w:rFonts w:ascii="Verdana" w:hAnsi="Verdana" w:cs="Calibri"/>
                <w:color w:val="000000"/>
                <w:sz w:val="20"/>
                <w:szCs w:val="20"/>
              </w:rPr>
              <w:t>4.2</w:t>
            </w:r>
          </w:p>
        </w:tc>
        <w:tc>
          <w:tcPr>
            <w:tcW w:w="0" w:type="auto"/>
            <w:shd w:val="clear" w:color="auto" w:fill="auto"/>
            <w:noWrap/>
            <w:vAlign w:val="center"/>
          </w:tcPr>
          <w:p w14:paraId="29B54779" w14:textId="77777777" w:rsidR="000B4EFC" w:rsidRPr="00D8165E" w:rsidRDefault="000B4EFC" w:rsidP="000B4EFC">
            <w:pPr>
              <w:tabs>
                <w:tab w:val="decimal" w:pos="492"/>
              </w:tabs>
              <w:spacing w:after="0" w:line="240" w:lineRule="auto"/>
              <w:rPr>
                <w:rFonts w:ascii="Verdana" w:hAnsi="Verdana" w:cs="Calibri"/>
                <w:color w:val="000000"/>
                <w:sz w:val="20"/>
                <w:szCs w:val="20"/>
              </w:rPr>
            </w:pPr>
            <w:r w:rsidRPr="00D8165E">
              <w:rPr>
                <w:rFonts w:ascii="Verdana" w:hAnsi="Verdana" w:cs="Calibri"/>
                <w:color w:val="000000"/>
                <w:sz w:val="20"/>
                <w:szCs w:val="20"/>
              </w:rPr>
              <w:t>4.4</w:t>
            </w:r>
          </w:p>
        </w:tc>
      </w:tr>
      <w:tr w:rsidR="000B4EFC" w:rsidRPr="00F37FDE" w14:paraId="1F927869" w14:textId="77777777" w:rsidTr="000B4EFC">
        <w:trPr>
          <w:jc w:val="center"/>
        </w:trPr>
        <w:tc>
          <w:tcPr>
            <w:tcW w:w="4027" w:type="dxa"/>
            <w:shd w:val="clear" w:color="auto" w:fill="auto"/>
            <w:noWrap/>
            <w:vAlign w:val="bottom"/>
            <w:hideMark/>
          </w:tcPr>
          <w:p w14:paraId="186EFFD3" w14:textId="77777777" w:rsidR="000B4EFC" w:rsidRPr="0051560A" w:rsidRDefault="000B4EFC" w:rsidP="000B4EFC">
            <w:pPr>
              <w:spacing w:after="0" w:line="240" w:lineRule="auto"/>
              <w:jc w:val="right"/>
              <w:rPr>
                <w:rFonts w:ascii="Verdana" w:hAnsi="Verdana" w:cs="Calibri"/>
                <w:color w:val="000000"/>
                <w:sz w:val="20"/>
                <w:szCs w:val="20"/>
              </w:rPr>
            </w:pPr>
            <w:r w:rsidRPr="0051560A">
              <w:rPr>
                <w:rFonts w:ascii="Verdana" w:hAnsi="Verdana" w:cs="Calibri"/>
                <w:color w:val="000000"/>
                <w:sz w:val="20"/>
                <w:szCs w:val="20"/>
              </w:rPr>
              <w:t>Full-time Student (econ active)</w:t>
            </w:r>
          </w:p>
        </w:tc>
        <w:tc>
          <w:tcPr>
            <w:tcW w:w="858" w:type="dxa"/>
            <w:shd w:val="clear" w:color="auto" w:fill="auto"/>
            <w:noWrap/>
            <w:vAlign w:val="center"/>
          </w:tcPr>
          <w:p w14:paraId="7558FDF7" w14:textId="77777777" w:rsidR="000B4EFC" w:rsidRPr="00A61BD4" w:rsidRDefault="000B4EFC" w:rsidP="000B4EFC">
            <w:pPr>
              <w:tabs>
                <w:tab w:val="decimal" w:pos="408"/>
              </w:tabs>
              <w:spacing w:after="0" w:line="240" w:lineRule="auto"/>
              <w:rPr>
                <w:rFonts w:ascii="Verdana" w:hAnsi="Verdana" w:cs="Calibri"/>
                <w:color w:val="000000"/>
                <w:sz w:val="20"/>
                <w:szCs w:val="20"/>
              </w:rPr>
            </w:pPr>
            <w:r w:rsidRPr="00A61BD4">
              <w:rPr>
                <w:rFonts w:ascii="Verdana" w:hAnsi="Verdana" w:cs="Calibri"/>
                <w:color w:val="000000"/>
                <w:sz w:val="20"/>
                <w:szCs w:val="20"/>
              </w:rPr>
              <w:t>24</w:t>
            </w:r>
          </w:p>
        </w:tc>
        <w:tc>
          <w:tcPr>
            <w:tcW w:w="843" w:type="dxa"/>
            <w:shd w:val="clear" w:color="auto" w:fill="auto"/>
            <w:noWrap/>
            <w:vAlign w:val="center"/>
          </w:tcPr>
          <w:p w14:paraId="7213F566" w14:textId="77777777" w:rsidR="000B4EFC" w:rsidRPr="00A61BD4" w:rsidRDefault="000B4EFC" w:rsidP="000B4EFC">
            <w:pPr>
              <w:tabs>
                <w:tab w:val="decimal" w:pos="270"/>
              </w:tabs>
              <w:spacing w:after="0" w:line="240" w:lineRule="auto"/>
              <w:rPr>
                <w:rFonts w:ascii="Verdana" w:hAnsi="Verdana" w:cs="Calibri"/>
                <w:color w:val="000000"/>
                <w:sz w:val="20"/>
                <w:szCs w:val="20"/>
              </w:rPr>
            </w:pPr>
            <w:r w:rsidRPr="00A61BD4">
              <w:rPr>
                <w:rFonts w:ascii="Verdana" w:hAnsi="Verdana" w:cs="Calibri"/>
                <w:color w:val="000000"/>
                <w:sz w:val="20"/>
                <w:szCs w:val="20"/>
              </w:rPr>
              <w:t>2.2</w:t>
            </w:r>
          </w:p>
        </w:tc>
        <w:tc>
          <w:tcPr>
            <w:tcW w:w="1234" w:type="dxa"/>
            <w:shd w:val="clear" w:color="auto" w:fill="auto"/>
            <w:noWrap/>
            <w:vAlign w:val="center"/>
          </w:tcPr>
          <w:p w14:paraId="02BA2FE3" w14:textId="64E74CFE" w:rsidR="000B4EFC" w:rsidRPr="000B4EFC" w:rsidRDefault="000B4EFC" w:rsidP="000B4EFC">
            <w:pPr>
              <w:tabs>
                <w:tab w:val="decimal" w:pos="403"/>
              </w:tabs>
              <w:spacing w:after="0" w:line="240" w:lineRule="auto"/>
              <w:jc w:val="center"/>
              <w:rPr>
                <w:rFonts w:ascii="Verdana" w:hAnsi="Verdana" w:cs="Calibri"/>
                <w:color w:val="000000"/>
                <w:sz w:val="20"/>
                <w:szCs w:val="20"/>
              </w:rPr>
            </w:pPr>
            <w:r w:rsidRPr="000B4EFC">
              <w:rPr>
                <w:rFonts w:ascii="Verdana" w:hAnsi="Verdana" w:cs="Calibri"/>
                <w:color w:val="000000"/>
                <w:sz w:val="20"/>
                <w:szCs w:val="20"/>
              </w:rPr>
              <w:t>2.4</w:t>
            </w:r>
          </w:p>
        </w:tc>
        <w:tc>
          <w:tcPr>
            <w:tcW w:w="0" w:type="auto"/>
            <w:shd w:val="clear" w:color="auto" w:fill="auto"/>
            <w:noWrap/>
            <w:vAlign w:val="center"/>
          </w:tcPr>
          <w:p w14:paraId="3BCBC53F" w14:textId="77777777" w:rsidR="000B4EFC" w:rsidRPr="00D8165E" w:rsidRDefault="000B4EFC" w:rsidP="000B4EFC">
            <w:pPr>
              <w:tabs>
                <w:tab w:val="decimal" w:pos="559"/>
              </w:tabs>
              <w:spacing w:after="0" w:line="240" w:lineRule="auto"/>
              <w:rPr>
                <w:rFonts w:ascii="Verdana" w:hAnsi="Verdana" w:cs="Calibri"/>
                <w:color w:val="000000"/>
                <w:sz w:val="20"/>
                <w:szCs w:val="20"/>
              </w:rPr>
            </w:pPr>
            <w:r w:rsidRPr="00D8165E">
              <w:rPr>
                <w:rFonts w:ascii="Verdana" w:hAnsi="Verdana" w:cs="Calibri"/>
                <w:color w:val="000000"/>
                <w:sz w:val="20"/>
                <w:szCs w:val="20"/>
              </w:rPr>
              <w:t>3.3</w:t>
            </w:r>
          </w:p>
        </w:tc>
        <w:tc>
          <w:tcPr>
            <w:tcW w:w="0" w:type="auto"/>
            <w:shd w:val="clear" w:color="auto" w:fill="auto"/>
            <w:noWrap/>
            <w:vAlign w:val="center"/>
          </w:tcPr>
          <w:p w14:paraId="135ADB0F" w14:textId="77777777" w:rsidR="000B4EFC" w:rsidRPr="00D8165E" w:rsidRDefault="000B4EFC" w:rsidP="000B4EFC">
            <w:pPr>
              <w:tabs>
                <w:tab w:val="decimal" w:pos="492"/>
              </w:tabs>
              <w:spacing w:after="0" w:line="240" w:lineRule="auto"/>
              <w:rPr>
                <w:rFonts w:ascii="Verdana" w:hAnsi="Verdana" w:cs="Calibri"/>
                <w:color w:val="000000"/>
                <w:sz w:val="20"/>
                <w:szCs w:val="20"/>
              </w:rPr>
            </w:pPr>
            <w:r w:rsidRPr="00D8165E">
              <w:rPr>
                <w:rFonts w:ascii="Verdana" w:hAnsi="Verdana" w:cs="Calibri"/>
                <w:color w:val="000000"/>
                <w:sz w:val="20"/>
                <w:szCs w:val="20"/>
              </w:rPr>
              <w:t>3.4</w:t>
            </w:r>
          </w:p>
        </w:tc>
      </w:tr>
      <w:tr w:rsidR="000B4EFC" w:rsidRPr="00E31E13" w14:paraId="55C90F7C" w14:textId="77777777" w:rsidTr="000B4EFC">
        <w:trPr>
          <w:jc w:val="center"/>
        </w:trPr>
        <w:tc>
          <w:tcPr>
            <w:tcW w:w="4027" w:type="dxa"/>
            <w:shd w:val="clear" w:color="auto" w:fill="auto"/>
            <w:noWrap/>
            <w:vAlign w:val="bottom"/>
            <w:hideMark/>
          </w:tcPr>
          <w:p w14:paraId="51222331" w14:textId="77777777" w:rsidR="000B4EFC" w:rsidRPr="0051560A" w:rsidRDefault="000B4EFC" w:rsidP="000B4EFC">
            <w:pPr>
              <w:spacing w:after="0" w:line="240" w:lineRule="auto"/>
              <w:jc w:val="right"/>
              <w:rPr>
                <w:rFonts w:ascii="Verdana" w:hAnsi="Verdana" w:cs="Calibri"/>
                <w:b/>
                <w:bCs/>
                <w:i/>
                <w:iCs/>
                <w:color w:val="000000"/>
                <w:sz w:val="20"/>
                <w:szCs w:val="20"/>
              </w:rPr>
            </w:pPr>
            <w:r w:rsidRPr="0051560A">
              <w:rPr>
                <w:rFonts w:ascii="Verdana" w:hAnsi="Verdana" w:cs="Calibri"/>
                <w:b/>
                <w:bCs/>
                <w:i/>
                <w:iCs/>
                <w:color w:val="000000"/>
                <w:sz w:val="20"/>
                <w:szCs w:val="20"/>
              </w:rPr>
              <w:t>Economically inactive Total</w:t>
            </w:r>
          </w:p>
        </w:tc>
        <w:tc>
          <w:tcPr>
            <w:tcW w:w="858" w:type="dxa"/>
            <w:shd w:val="clear" w:color="auto" w:fill="auto"/>
            <w:noWrap/>
            <w:vAlign w:val="center"/>
          </w:tcPr>
          <w:p w14:paraId="25AD00D8" w14:textId="77777777" w:rsidR="000B4EFC" w:rsidRPr="00A61BD4" w:rsidRDefault="000B4EFC" w:rsidP="000B4EFC">
            <w:pPr>
              <w:tabs>
                <w:tab w:val="decimal" w:pos="408"/>
              </w:tabs>
              <w:spacing w:after="0" w:line="240" w:lineRule="auto"/>
              <w:rPr>
                <w:rFonts w:ascii="Verdana" w:hAnsi="Verdana" w:cs="Calibri"/>
                <w:b/>
                <w:bCs/>
                <w:i/>
                <w:iCs/>
                <w:color w:val="000000"/>
                <w:sz w:val="20"/>
                <w:szCs w:val="20"/>
              </w:rPr>
            </w:pPr>
            <w:r w:rsidRPr="00A61BD4">
              <w:rPr>
                <w:rFonts w:ascii="Verdana" w:hAnsi="Verdana" w:cs="Calibri"/>
                <w:b/>
                <w:bCs/>
                <w:i/>
                <w:iCs/>
                <w:color w:val="000000"/>
                <w:sz w:val="20"/>
                <w:szCs w:val="20"/>
              </w:rPr>
              <w:t>408</w:t>
            </w:r>
          </w:p>
        </w:tc>
        <w:tc>
          <w:tcPr>
            <w:tcW w:w="843" w:type="dxa"/>
            <w:shd w:val="clear" w:color="auto" w:fill="auto"/>
            <w:noWrap/>
            <w:vAlign w:val="center"/>
          </w:tcPr>
          <w:p w14:paraId="79062379" w14:textId="77777777" w:rsidR="000B4EFC" w:rsidRPr="00A61BD4" w:rsidRDefault="000B4EFC" w:rsidP="000B4EFC">
            <w:pPr>
              <w:tabs>
                <w:tab w:val="decimal" w:pos="270"/>
              </w:tabs>
              <w:spacing w:after="0" w:line="240" w:lineRule="auto"/>
              <w:rPr>
                <w:rFonts w:ascii="Verdana" w:hAnsi="Verdana" w:cs="Calibri"/>
                <w:b/>
                <w:bCs/>
                <w:i/>
                <w:iCs/>
                <w:color w:val="000000"/>
                <w:sz w:val="20"/>
                <w:szCs w:val="20"/>
              </w:rPr>
            </w:pPr>
            <w:r w:rsidRPr="00A61BD4">
              <w:rPr>
                <w:rFonts w:ascii="Verdana" w:hAnsi="Verdana" w:cs="Calibri"/>
                <w:b/>
                <w:bCs/>
                <w:i/>
                <w:iCs/>
                <w:color w:val="000000"/>
                <w:sz w:val="20"/>
                <w:szCs w:val="20"/>
              </w:rPr>
              <w:t>38.0</w:t>
            </w:r>
          </w:p>
        </w:tc>
        <w:tc>
          <w:tcPr>
            <w:tcW w:w="1234" w:type="dxa"/>
            <w:shd w:val="clear" w:color="auto" w:fill="auto"/>
            <w:noWrap/>
            <w:vAlign w:val="center"/>
          </w:tcPr>
          <w:p w14:paraId="7B8BE452" w14:textId="3E643CCA" w:rsidR="000B4EFC" w:rsidRPr="000B4EFC" w:rsidRDefault="000B4EFC" w:rsidP="000B4EFC">
            <w:pPr>
              <w:tabs>
                <w:tab w:val="decimal" w:pos="403"/>
              </w:tabs>
              <w:spacing w:after="0" w:line="240" w:lineRule="auto"/>
              <w:jc w:val="center"/>
              <w:rPr>
                <w:rFonts w:ascii="Verdana" w:hAnsi="Verdana" w:cs="Calibri"/>
                <w:b/>
                <w:bCs/>
                <w:i/>
                <w:iCs/>
                <w:color w:val="000000"/>
                <w:sz w:val="20"/>
                <w:szCs w:val="20"/>
              </w:rPr>
            </w:pPr>
            <w:r w:rsidRPr="000B4EFC">
              <w:rPr>
                <w:rFonts w:ascii="Verdana" w:hAnsi="Verdana" w:cs="Calibri"/>
                <w:b/>
                <w:bCs/>
                <w:i/>
                <w:iCs/>
                <w:color w:val="000000"/>
                <w:sz w:val="20"/>
                <w:szCs w:val="20"/>
              </w:rPr>
              <w:t>28.5</w:t>
            </w:r>
          </w:p>
        </w:tc>
        <w:tc>
          <w:tcPr>
            <w:tcW w:w="0" w:type="auto"/>
            <w:shd w:val="clear" w:color="auto" w:fill="auto"/>
            <w:noWrap/>
            <w:vAlign w:val="center"/>
          </w:tcPr>
          <w:p w14:paraId="40C3184C" w14:textId="77777777" w:rsidR="000B4EFC" w:rsidRPr="005B5AD1" w:rsidRDefault="000B4EFC" w:rsidP="000B4EFC">
            <w:pPr>
              <w:tabs>
                <w:tab w:val="decimal" w:pos="559"/>
              </w:tabs>
              <w:spacing w:after="0" w:line="240" w:lineRule="auto"/>
              <w:rPr>
                <w:rFonts w:ascii="Verdana" w:hAnsi="Verdana" w:cs="Calibri"/>
                <w:b/>
                <w:i/>
                <w:color w:val="000000"/>
                <w:sz w:val="20"/>
                <w:szCs w:val="20"/>
              </w:rPr>
            </w:pPr>
            <w:r w:rsidRPr="005B5AD1">
              <w:rPr>
                <w:rFonts w:ascii="Verdana" w:hAnsi="Verdana" w:cs="Calibri"/>
                <w:b/>
                <w:i/>
                <w:color w:val="000000"/>
                <w:sz w:val="20"/>
                <w:szCs w:val="20"/>
              </w:rPr>
              <w:t>30.7</w:t>
            </w:r>
          </w:p>
        </w:tc>
        <w:tc>
          <w:tcPr>
            <w:tcW w:w="0" w:type="auto"/>
            <w:shd w:val="clear" w:color="auto" w:fill="auto"/>
            <w:noWrap/>
            <w:vAlign w:val="center"/>
          </w:tcPr>
          <w:p w14:paraId="1787F4DA" w14:textId="77777777" w:rsidR="000B4EFC" w:rsidRPr="005B5AD1" w:rsidRDefault="000B4EFC" w:rsidP="000B4EFC">
            <w:pPr>
              <w:tabs>
                <w:tab w:val="decimal" w:pos="492"/>
              </w:tabs>
              <w:spacing w:after="0" w:line="240" w:lineRule="auto"/>
              <w:rPr>
                <w:rFonts w:ascii="Verdana" w:hAnsi="Verdana" w:cs="Calibri"/>
                <w:b/>
                <w:i/>
                <w:color w:val="000000"/>
                <w:sz w:val="20"/>
                <w:szCs w:val="20"/>
              </w:rPr>
            </w:pPr>
            <w:r w:rsidRPr="005B5AD1">
              <w:rPr>
                <w:rFonts w:ascii="Verdana" w:hAnsi="Verdana" w:cs="Calibri"/>
                <w:b/>
                <w:i/>
                <w:color w:val="000000"/>
                <w:sz w:val="20"/>
                <w:szCs w:val="20"/>
              </w:rPr>
              <w:t>30.1</w:t>
            </w:r>
          </w:p>
        </w:tc>
      </w:tr>
      <w:tr w:rsidR="000B4EFC" w:rsidRPr="00F37FDE" w14:paraId="70B8FB5D" w14:textId="77777777" w:rsidTr="000B4EFC">
        <w:trPr>
          <w:jc w:val="center"/>
        </w:trPr>
        <w:tc>
          <w:tcPr>
            <w:tcW w:w="4027" w:type="dxa"/>
            <w:shd w:val="clear" w:color="auto" w:fill="auto"/>
            <w:noWrap/>
            <w:vAlign w:val="bottom"/>
            <w:hideMark/>
          </w:tcPr>
          <w:p w14:paraId="1D63DC0B" w14:textId="77777777" w:rsidR="000B4EFC" w:rsidRPr="0051560A" w:rsidRDefault="000B4EFC" w:rsidP="000B4EFC">
            <w:pPr>
              <w:spacing w:after="0" w:line="240" w:lineRule="auto"/>
              <w:jc w:val="right"/>
              <w:rPr>
                <w:rFonts w:ascii="Verdana" w:hAnsi="Verdana" w:cs="Calibri"/>
                <w:color w:val="000000"/>
                <w:sz w:val="20"/>
                <w:szCs w:val="20"/>
              </w:rPr>
            </w:pPr>
            <w:r w:rsidRPr="0051560A">
              <w:rPr>
                <w:rFonts w:ascii="Verdana" w:hAnsi="Verdana" w:cs="Calibri"/>
                <w:color w:val="000000"/>
                <w:sz w:val="20"/>
                <w:szCs w:val="20"/>
              </w:rPr>
              <w:t>Retired</w:t>
            </w:r>
          </w:p>
        </w:tc>
        <w:tc>
          <w:tcPr>
            <w:tcW w:w="858" w:type="dxa"/>
            <w:shd w:val="clear" w:color="auto" w:fill="auto"/>
            <w:noWrap/>
            <w:vAlign w:val="center"/>
          </w:tcPr>
          <w:p w14:paraId="1AFD5D3A" w14:textId="77777777" w:rsidR="000B4EFC" w:rsidRPr="00A61BD4" w:rsidRDefault="000B4EFC" w:rsidP="000B4EFC">
            <w:pPr>
              <w:tabs>
                <w:tab w:val="decimal" w:pos="408"/>
              </w:tabs>
              <w:spacing w:after="0" w:line="240" w:lineRule="auto"/>
              <w:rPr>
                <w:rFonts w:ascii="Verdana" w:hAnsi="Verdana" w:cs="Calibri"/>
                <w:color w:val="000000"/>
                <w:sz w:val="20"/>
                <w:szCs w:val="20"/>
              </w:rPr>
            </w:pPr>
            <w:r w:rsidRPr="00A61BD4">
              <w:rPr>
                <w:rFonts w:ascii="Verdana" w:hAnsi="Verdana" w:cs="Calibri"/>
                <w:color w:val="000000"/>
                <w:sz w:val="20"/>
                <w:szCs w:val="20"/>
              </w:rPr>
              <w:t>282</w:t>
            </w:r>
          </w:p>
        </w:tc>
        <w:tc>
          <w:tcPr>
            <w:tcW w:w="843" w:type="dxa"/>
            <w:shd w:val="clear" w:color="auto" w:fill="auto"/>
            <w:noWrap/>
            <w:vAlign w:val="center"/>
          </w:tcPr>
          <w:p w14:paraId="04EE3BA3" w14:textId="77777777" w:rsidR="000B4EFC" w:rsidRPr="00A61BD4" w:rsidRDefault="000B4EFC" w:rsidP="000B4EFC">
            <w:pPr>
              <w:tabs>
                <w:tab w:val="decimal" w:pos="270"/>
              </w:tabs>
              <w:spacing w:after="0" w:line="240" w:lineRule="auto"/>
              <w:rPr>
                <w:rFonts w:ascii="Verdana" w:hAnsi="Verdana" w:cs="Calibri"/>
                <w:color w:val="000000"/>
                <w:sz w:val="20"/>
                <w:szCs w:val="20"/>
              </w:rPr>
            </w:pPr>
            <w:r w:rsidRPr="00A61BD4">
              <w:rPr>
                <w:rFonts w:ascii="Verdana" w:hAnsi="Verdana" w:cs="Calibri"/>
                <w:color w:val="000000"/>
                <w:sz w:val="20"/>
                <w:szCs w:val="20"/>
              </w:rPr>
              <w:t>26.3</w:t>
            </w:r>
          </w:p>
        </w:tc>
        <w:tc>
          <w:tcPr>
            <w:tcW w:w="1234" w:type="dxa"/>
            <w:shd w:val="clear" w:color="auto" w:fill="auto"/>
            <w:noWrap/>
            <w:vAlign w:val="center"/>
          </w:tcPr>
          <w:p w14:paraId="42728D38" w14:textId="2294ED28" w:rsidR="000B4EFC" w:rsidRPr="000B4EFC" w:rsidRDefault="000B4EFC" w:rsidP="000B4EFC">
            <w:pPr>
              <w:tabs>
                <w:tab w:val="decimal" w:pos="403"/>
              </w:tabs>
              <w:spacing w:after="0" w:line="240" w:lineRule="auto"/>
              <w:jc w:val="center"/>
              <w:rPr>
                <w:rFonts w:ascii="Verdana" w:hAnsi="Verdana" w:cs="Calibri"/>
                <w:color w:val="000000"/>
                <w:sz w:val="20"/>
                <w:szCs w:val="20"/>
              </w:rPr>
            </w:pPr>
            <w:r w:rsidRPr="000B4EFC">
              <w:rPr>
                <w:rFonts w:ascii="Verdana" w:hAnsi="Verdana" w:cs="Calibri"/>
                <w:color w:val="000000"/>
                <w:sz w:val="20"/>
                <w:szCs w:val="20"/>
              </w:rPr>
              <w:t>16.1</w:t>
            </w:r>
          </w:p>
        </w:tc>
        <w:tc>
          <w:tcPr>
            <w:tcW w:w="0" w:type="auto"/>
            <w:shd w:val="clear" w:color="auto" w:fill="auto"/>
            <w:noWrap/>
            <w:vAlign w:val="center"/>
          </w:tcPr>
          <w:p w14:paraId="3FA06F3E" w14:textId="77777777" w:rsidR="000B4EFC" w:rsidRPr="00D8165E" w:rsidRDefault="000B4EFC" w:rsidP="000B4EFC">
            <w:pPr>
              <w:tabs>
                <w:tab w:val="decimal" w:pos="559"/>
              </w:tabs>
              <w:spacing w:after="0" w:line="240" w:lineRule="auto"/>
              <w:rPr>
                <w:rFonts w:ascii="Verdana" w:hAnsi="Verdana" w:cs="Calibri"/>
                <w:color w:val="000000"/>
                <w:sz w:val="20"/>
                <w:szCs w:val="20"/>
              </w:rPr>
            </w:pPr>
            <w:r w:rsidRPr="00D8165E">
              <w:rPr>
                <w:rFonts w:ascii="Verdana" w:hAnsi="Verdana" w:cs="Calibri"/>
                <w:color w:val="000000"/>
                <w:sz w:val="20"/>
                <w:szCs w:val="20"/>
              </w:rPr>
              <w:t>15.0</w:t>
            </w:r>
          </w:p>
        </w:tc>
        <w:tc>
          <w:tcPr>
            <w:tcW w:w="0" w:type="auto"/>
            <w:shd w:val="clear" w:color="auto" w:fill="auto"/>
            <w:noWrap/>
            <w:vAlign w:val="center"/>
          </w:tcPr>
          <w:p w14:paraId="08D86575" w14:textId="77777777" w:rsidR="000B4EFC" w:rsidRPr="00D8165E" w:rsidRDefault="000B4EFC" w:rsidP="000B4EFC">
            <w:pPr>
              <w:tabs>
                <w:tab w:val="decimal" w:pos="492"/>
              </w:tabs>
              <w:spacing w:after="0" w:line="240" w:lineRule="auto"/>
              <w:rPr>
                <w:rFonts w:ascii="Verdana" w:hAnsi="Verdana" w:cs="Calibri"/>
                <w:color w:val="000000"/>
                <w:sz w:val="20"/>
                <w:szCs w:val="20"/>
              </w:rPr>
            </w:pPr>
            <w:r w:rsidRPr="00D8165E">
              <w:rPr>
                <w:rFonts w:ascii="Verdana" w:hAnsi="Verdana" w:cs="Calibri"/>
                <w:color w:val="000000"/>
                <w:sz w:val="20"/>
                <w:szCs w:val="20"/>
              </w:rPr>
              <w:t>13.7</w:t>
            </w:r>
          </w:p>
        </w:tc>
      </w:tr>
      <w:tr w:rsidR="000B4EFC" w:rsidRPr="00F37FDE" w14:paraId="374B4A0C" w14:textId="77777777" w:rsidTr="000B4EFC">
        <w:trPr>
          <w:jc w:val="center"/>
        </w:trPr>
        <w:tc>
          <w:tcPr>
            <w:tcW w:w="4027" w:type="dxa"/>
            <w:shd w:val="clear" w:color="auto" w:fill="auto"/>
            <w:noWrap/>
            <w:vAlign w:val="bottom"/>
            <w:hideMark/>
          </w:tcPr>
          <w:p w14:paraId="03901207" w14:textId="77777777" w:rsidR="000B4EFC" w:rsidRPr="0051560A" w:rsidRDefault="000B4EFC" w:rsidP="000B4EFC">
            <w:pPr>
              <w:spacing w:after="0" w:line="240" w:lineRule="auto"/>
              <w:jc w:val="right"/>
              <w:rPr>
                <w:rFonts w:ascii="Verdana" w:hAnsi="Verdana" w:cs="Calibri"/>
                <w:color w:val="000000"/>
                <w:sz w:val="20"/>
                <w:szCs w:val="20"/>
              </w:rPr>
            </w:pPr>
            <w:r w:rsidRPr="0051560A">
              <w:rPr>
                <w:rFonts w:ascii="Verdana" w:hAnsi="Verdana" w:cs="Calibri"/>
                <w:color w:val="000000"/>
                <w:sz w:val="20"/>
                <w:szCs w:val="20"/>
              </w:rPr>
              <w:t>Student (including Full-Time Students)</w:t>
            </w:r>
          </w:p>
        </w:tc>
        <w:tc>
          <w:tcPr>
            <w:tcW w:w="858" w:type="dxa"/>
            <w:shd w:val="clear" w:color="auto" w:fill="auto"/>
            <w:noWrap/>
            <w:vAlign w:val="center"/>
          </w:tcPr>
          <w:p w14:paraId="4910581B" w14:textId="77777777" w:rsidR="000B4EFC" w:rsidRPr="00A61BD4" w:rsidRDefault="000B4EFC" w:rsidP="000B4EFC">
            <w:pPr>
              <w:tabs>
                <w:tab w:val="decimal" w:pos="408"/>
              </w:tabs>
              <w:spacing w:after="0" w:line="240" w:lineRule="auto"/>
              <w:rPr>
                <w:rFonts w:ascii="Verdana" w:hAnsi="Verdana" w:cs="Calibri"/>
                <w:color w:val="000000"/>
                <w:sz w:val="20"/>
                <w:szCs w:val="20"/>
              </w:rPr>
            </w:pPr>
            <w:r w:rsidRPr="00A61BD4">
              <w:rPr>
                <w:rFonts w:ascii="Verdana" w:hAnsi="Verdana" w:cs="Calibri"/>
                <w:color w:val="000000"/>
                <w:sz w:val="20"/>
                <w:szCs w:val="20"/>
              </w:rPr>
              <w:t>42</w:t>
            </w:r>
          </w:p>
        </w:tc>
        <w:tc>
          <w:tcPr>
            <w:tcW w:w="843" w:type="dxa"/>
            <w:shd w:val="clear" w:color="auto" w:fill="auto"/>
            <w:noWrap/>
            <w:vAlign w:val="center"/>
          </w:tcPr>
          <w:p w14:paraId="1310DB2E" w14:textId="77777777" w:rsidR="000B4EFC" w:rsidRPr="00A61BD4" w:rsidRDefault="000B4EFC" w:rsidP="000B4EFC">
            <w:pPr>
              <w:tabs>
                <w:tab w:val="decimal" w:pos="270"/>
              </w:tabs>
              <w:spacing w:after="0" w:line="240" w:lineRule="auto"/>
              <w:rPr>
                <w:rFonts w:ascii="Verdana" w:hAnsi="Verdana" w:cs="Calibri"/>
                <w:color w:val="000000"/>
                <w:sz w:val="20"/>
                <w:szCs w:val="20"/>
              </w:rPr>
            </w:pPr>
            <w:r w:rsidRPr="00A61BD4">
              <w:rPr>
                <w:rFonts w:ascii="Verdana" w:hAnsi="Verdana" w:cs="Calibri"/>
                <w:color w:val="000000"/>
                <w:sz w:val="20"/>
                <w:szCs w:val="20"/>
              </w:rPr>
              <w:t>3.9</w:t>
            </w:r>
          </w:p>
        </w:tc>
        <w:tc>
          <w:tcPr>
            <w:tcW w:w="1234" w:type="dxa"/>
            <w:shd w:val="clear" w:color="auto" w:fill="auto"/>
            <w:noWrap/>
            <w:vAlign w:val="center"/>
          </w:tcPr>
          <w:p w14:paraId="08B51F3F" w14:textId="2527D205" w:rsidR="000B4EFC" w:rsidRPr="000B4EFC" w:rsidRDefault="000B4EFC" w:rsidP="000B4EFC">
            <w:pPr>
              <w:tabs>
                <w:tab w:val="decimal" w:pos="403"/>
              </w:tabs>
              <w:spacing w:after="0" w:line="240" w:lineRule="auto"/>
              <w:jc w:val="center"/>
              <w:rPr>
                <w:rFonts w:ascii="Verdana" w:hAnsi="Verdana" w:cs="Calibri"/>
                <w:color w:val="000000"/>
                <w:sz w:val="20"/>
                <w:szCs w:val="20"/>
              </w:rPr>
            </w:pPr>
            <w:r w:rsidRPr="000B4EFC">
              <w:rPr>
                <w:rFonts w:ascii="Verdana" w:hAnsi="Verdana" w:cs="Calibri"/>
                <w:color w:val="000000"/>
                <w:sz w:val="20"/>
                <w:szCs w:val="20"/>
              </w:rPr>
              <w:t>3.8</w:t>
            </w:r>
          </w:p>
        </w:tc>
        <w:tc>
          <w:tcPr>
            <w:tcW w:w="0" w:type="auto"/>
            <w:shd w:val="clear" w:color="auto" w:fill="auto"/>
            <w:noWrap/>
            <w:vAlign w:val="center"/>
          </w:tcPr>
          <w:p w14:paraId="277C7BD2" w14:textId="77777777" w:rsidR="000B4EFC" w:rsidRPr="00D8165E" w:rsidRDefault="000B4EFC" w:rsidP="000B4EFC">
            <w:pPr>
              <w:tabs>
                <w:tab w:val="decimal" w:pos="559"/>
              </w:tabs>
              <w:spacing w:after="0" w:line="240" w:lineRule="auto"/>
              <w:rPr>
                <w:rFonts w:ascii="Verdana" w:hAnsi="Verdana" w:cs="Calibri"/>
                <w:color w:val="000000"/>
                <w:sz w:val="20"/>
                <w:szCs w:val="20"/>
              </w:rPr>
            </w:pPr>
            <w:r w:rsidRPr="00D8165E">
              <w:rPr>
                <w:rFonts w:ascii="Verdana" w:hAnsi="Verdana" w:cs="Calibri"/>
                <w:color w:val="000000"/>
                <w:sz w:val="20"/>
                <w:szCs w:val="20"/>
              </w:rPr>
              <w:t>5.8</w:t>
            </w:r>
          </w:p>
        </w:tc>
        <w:tc>
          <w:tcPr>
            <w:tcW w:w="0" w:type="auto"/>
            <w:shd w:val="clear" w:color="auto" w:fill="auto"/>
            <w:noWrap/>
            <w:vAlign w:val="center"/>
          </w:tcPr>
          <w:p w14:paraId="6DA6E926" w14:textId="77777777" w:rsidR="000B4EFC" w:rsidRPr="00D8165E" w:rsidRDefault="000B4EFC" w:rsidP="000B4EFC">
            <w:pPr>
              <w:tabs>
                <w:tab w:val="decimal" w:pos="492"/>
              </w:tabs>
              <w:spacing w:after="0" w:line="240" w:lineRule="auto"/>
              <w:rPr>
                <w:rFonts w:ascii="Verdana" w:hAnsi="Verdana" w:cs="Calibri"/>
                <w:color w:val="000000"/>
                <w:sz w:val="20"/>
                <w:szCs w:val="20"/>
              </w:rPr>
            </w:pPr>
            <w:r w:rsidRPr="00D8165E">
              <w:rPr>
                <w:rFonts w:ascii="Verdana" w:hAnsi="Verdana" w:cs="Calibri"/>
                <w:color w:val="000000"/>
                <w:sz w:val="20"/>
                <w:szCs w:val="20"/>
              </w:rPr>
              <w:t>5.8</w:t>
            </w:r>
          </w:p>
        </w:tc>
      </w:tr>
      <w:tr w:rsidR="000B4EFC" w:rsidRPr="00F37FDE" w14:paraId="3289932F" w14:textId="77777777" w:rsidTr="000B4EFC">
        <w:trPr>
          <w:jc w:val="center"/>
        </w:trPr>
        <w:tc>
          <w:tcPr>
            <w:tcW w:w="4027" w:type="dxa"/>
            <w:shd w:val="clear" w:color="auto" w:fill="auto"/>
            <w:noWrap/>
            <w:vAlign w:val="bottom"/>
            <w:hideMark/>
          </w:tcPr>
          <w:p w14:paraId="5E646FEC" w14:textId="77777777" w:rsidR="000B4EFC" w:rsidRPr="0051560A" w:rsidRDefault="000B4EFC" w:rsidP="000B4EFC">
            <w:pPr>
              <w:spacing w:after="0" w:line="240" w:lineRule="auto"/>
              <w:jc w:val="right"/>
              <w:rPr>
                <w:rFonts w:ascii="Verdana" w:hAnsi="Verdana" w:cs="Calibri"/>
                <w:color w:val="000000"/>
                <w:sz w:val="20"/>
                <w:szCs w:val="20"/>
              </w:rPr>
            </w:pPr>
            <w:r w:rsidRPr="0051560A">
              <w:rPr>
                <w:rFonts w:ascii="Verdana" w:hAnsi="Verdana" w:cs="Calibri"/>
                <w:color w:val="000000"/>
                <w:sz w:val="20"/>
                <w:szCs w:val="20"/>
              </w:rPr>
              <w:t>Looking After Home or Family</w:t>
            </w:r>
          </w:p>
        </w:tc>
        <w:tc>
          <w:tcPr>
            <w:tcW w:w="858" w:type="dxa"/>
            <w:shd w:val="clear" w:color="auto" w:fill="auto"/>
            <w:noWrap/>
            <w:vAlign w:val="center"/>
          </w:tcPr>
          <w:p w14:paraId="4E26881A" w14:textId="77777777" w:rsidR="000B4EFC" w:rsidRPr="00A61BD4" w:rsidRDefault="000B4EFC" w:rsidP="000B4EFC">
            <w:pPr>
              <w:tabs>
                <w:tab w:val="decimal" w:pos="408"/>
              </w:tabs>
              <w:spacing w:after="0" w:line="240" w:lineRule="auto"/>
              <w:rPr>
                <w:rFonts w:ascii="Verdana" w:hAnsi="Verdana" w:cs="Calibri"/>
                <w:color w:val="000000"/>
                <w:sz w:val="20"/>
                <w:szCs w:val="20"/>
              </w:rPr>
            </w:pPr>
            <w:r w:rsidRPr="00A61BD4">
              <w:rPr>
                <w:rFonts w:ascii="Verdana" w:hAnsi="Verdana" w:cs="Calibri"/>
                <w:color w:val="000000"/>
                <w:sz w:val="20"/>
                <w:szCs w:val="20"/>
              </w:rPr>
              <w:t>27</w:t>
            </w:r>
          </w:p>
        </w:tc>
        <w:tc>
          <w:tcPr>
            <w:tcW w:w="843" w:type="dxa"/>
            <w:shd w:val="clear" w:color="auto" w:fill="auto"/>
            <w:noWrap/>
            <w:vAlign w:val="center"/>
          </w:tcPr>
          <w:p w14:paraId="37401F58" w14:textId="77777777" w:rsidR="000B4EFC" w:rsidRPr="00A61BD4" w:rsidRDefault="000B4EFC" w:rsidP="000B4EFC">
            <w:pPr>
              <w:tabs>
                <w:tab w:val="decimal" w:pos="270"/>
              </w:tabs>
              <w:spacing w:after="0" w:line="240" w:lineRule="auto"/>
              <w:rPr>
                <w:rFonts w:ascii="Verdana" w:hAnsi="Verdana" w:cs="Calibri"/>
                <w:color w:val="000000"/>
                <w:sz w:val="20"/>
                <w:szCs w:val="20"/>
              </w:rPr>
            </w:pPr>
            <w:r w:rsidRPr="00A61BD4">
              <w:rPr>
                <w:rFonts w:ascii="Verdana" w:hAnsi="Verdana" w:cs="Calibri"/>
                <w:color w:val="000000"/>
                <w:sz w:val="20"/>
                <w:szCs w:val="20"/>
              </w:rPr>
              <w:t>2.5</w:t>
            </w:r>
          </w:p>
        </w:tc>
        <w:tc>
          <w:tcPr>
            <w:tcW w:w="1234" w:type="dxa"/>
            <w:shd w:val="clear" w:color="auto" w:fill="auto"/>
            <w:noWrap/>
            <w:vAlign w:val="center"/>
          </w:tcPr>
          <w:p w14:paraId="31FF3AE7" w14:textId="316E547C" w:rsidR="000B4EFC" w:rsidRPr="000B4EFC" w:rsidRDefault="000B4EFC" w:rsidP="000B4EFC">
            <w:pPr>
              <w:tabs>
                <w:tab w:val="decimal" w:pos="403"/>
              </w:tabs>
              <w:spacing w:after="0" w:line="240" w:lineRule="auto"/>
              <w:jc w:val="center"/>
              <w:rPr>
                <w:rFonts w:ascii="Verdana" w:hAnsi="Verdana" w:cs="Calibri"/>
                <w:color w:val="000000"/>
                <w:sz w:val="20"/>
                <w:szCs w:val="20"/>
              </w:rPr>
            </w:pPr>
            <w:r w:rsidRPr="000B4EFC">
              <w:rPr>
                <w:rFonts w:ascii="Verdana" w:hAnsi="Verdana" w:cs="Calibri"/>
                <w:color w:val="000000"/>
                <w:sz w:val="20"/>
                <w:szCs w:val="20"/>
              </w:rPr>
              <w:t>3.8</w:t>
            </w:r>
          </w:p>
        </w:tc>
        <w:tc>
          <w:tcPr>
            <w:tcW w:w="0" w:type="auto"/>
            <w:shd w:val="clear" w:color="auto" w:fill="auto"/>
            <w:noWrap/>
            <w:vAlign w:val="center"/>
          </w:tcPr>
          <w:p w14:paraId="278371C8" w14:textId="77777777" w:rsidR="000B4EFC" w:rsidRPr="00D8165E" w:rsidRDefault="000B4EFC" w:rsidP="000B4EFC">
            <w:pPr>
              <w:tabs>
                <w:tab w:val="decimal" w:pos="559"/>
              </w:tabs>
              <w:spacing w:after="0" w:line="240" w:lineRule="auto"/>
              <w:rPr>
                <w:rFonts w:ascii="Verdana" w:hAnsi="Verdana" w:cs="Calibri"/>
                <w:color w:val="000000"/>
                <w:sz w:val="20"/>
                <w:szCs w:val="20"/>
              </w:rPr>
            </w:pPr>
            <w:r w:rsidRPr="00D8165E">
              <w:rPr>
                <w:rFonts w:ascii="Verdana" w:hAnsi="Verdana" w:cs="Calibri"/>
                <w:color w:val="000000"/>
                <w:sz w:val="20"/>
                <w:szCs w:val="20"/>
              </w:rPr>
              <w:t>4.0</w:t>
            </w:r>
          </w:p>
        </w:tc>
        <w:tc>
          <w:tcPr>
            <w:tcW w:w="0" w:type="auto"/>
            <w:shd w:val="clear" w:color="auto" w:fill="auto"/>
            <w:noWrap/>
            <w:vAlign w:val="center"/>
          </w:tcPr>
          <w:p w14:paraId="78B0D288" w14:textId="77777777" w:rsidR="000B4EFC" w:rsidRPr="00D8165E" w:rsidRDefault="000B4EFC" w:rsidP="000B4EFC">
            <w:pPr>
              <w:tabs>
                <w:tab w:val="decimal" w:pos="492"/>
              </w:tabs>
              <w:spacing w:after="0" w:line="240" w:lineRule="auto"/>
              <w:rPr>
                <w:rFonts w:ascii="Verdana" w:hAnsi="Verdana" w:cs="Calibri"/>
                <w:color w:val="000000"/>
                <w:sz w:val="20"/>
                <w:szCs w:val="20"/>
              </w:rPr>
            </w:pPr>
            <w:r w:rsidRPr="00D8165E">
              <w:rPr>
                <w:rFonts w:ascii="Verdana" w:hAnsi="Verdana" w:cs="Calibri"/>
                <w:color w:val="000000"/>
                <w:sz w:val="20"/>
                <w:szCs w:val="20"/>
              </w:rPr>
              <w:t>4.4</w:t>
            </w:r>
          </w:p>
        </w:tc>
      </w:tr>
      <w:tr w:rsidR="000B4EFC" w:rsidRPr="00F37FDE" w14:paraId="2A4EF06D" w14:textId="77777777" w:rsidTr="000B4EFC">
        <w:trPr>
          <w:jc w:val="center"/>
        </w:trPr>
        <w:tc>
          <w:tcPr>
            <w:tcW w:w="4027" w:type="dxa"/>
            <w:shd w:val="clear" w:color="auto" w:fill="auto"/>
            <w:noWrap/>
            <w:vAlign w:val="bottom"/>
            <w:hideMark/>
          </w:tcPr>
          <w:p w14:paraId="62E03B94" w14:textId="77777777" w:rsidR="000B4EFC" w:rsidRPr="0051560A" w:rsidRDefault="000B4EFC" w:rsidP="000B4EFC">
            <w:pPr>
              <w:spacing w:after="0" w:line="240" w:lineRule="auto"/>
              <w:jc w:val="right"/>
              <w:rPr>
                <w:rFonts w:ascii="Verdana" w:hAnsi="Verdana" w:cs="Calibri"/>
                <w:color w:val="000000"/>
                <w:sz w:val="20"/>
                <w:szCs w:val="20"/>
              </w:rPr>
            </w:pPr>
            <w:r w:rsidRPr="0051560A">
              <w:rPr>
                <w:rFonts w:ascii="Verdana" w:hAnsi="Verdana" w:cs="Calibri"/>
                <w:color w:val="000000"/>
                <w:sz w:val="20"/>
                <w:szCs w:val="20"/>
              </w:rPr>
              <w:t>Long-Term Sick or Disabled</w:t>
            </w:r>
          </w:p>
        </w:tc>
        <w:tc>
          <w:tcPr>
            <w:tcW w:w="858" w:type="dxa"/>
            <w:shd w:val="clear" w:color="auto" w:fill="auto"/>
            <w:noWrap/>
            <w:vAlign w:val="center"/>
          </w:tcPr>
          <w:p w14:paraId="4F5A7DDF" w14:textId="77777777" w:rsidR="000B4EFC" w:rsidRPr="00A61BD4" w:rsidRDefault="000B4EFC" w:rsidP="000B4EFC">
            <w:pPr>
              <w:tabs>
                <w:tab w:val="decimal" w:pos="408"/>
              </w:tabs>
              <w:spacing w:after="0" w:line="240" w:lineRule="auto"/>
              <w:rPr>
                <w:rFonts w:ascii="Verdana" w:hAnsi="Verdana" w:cs="Calibri"/>
                <w:color w:val="000000"/>
                <w:sz w:val="20"/>
                <w:szCs w:val="20"/>
              </w:rPr>
            </w:pPr>
            <w:r w:rsidRPr="00A61BD4">
              <w:rPr>
                <w:rFonts w:ascii="Verdana" w:hAnsi="Verdana" w:cs="Calibri"/>
                <w:color w:val="000000"/>
                <w:sz w:val="20"/>
                <w:szCs w:val="20"/>
              </w:rPr>
              <w:t>43</w:t>
            </w:r>
          </w:p>
        </w:tc>
        <w:tc>
          <w:tcPr>
            <w:tcW w:w="843" w:type="dxa"/>
            <w:shd w:val="clear" w:color="auto" w:fill="auto"/>
            <w:noWrap/>
            <w:vAlign w:val="center"/>
          </w:tcPr>
          <w:p w14:paraId="5D9BBD6F" w14:textId="77777777" w:rsidR="000B4EFC" w:rsidRPr="00A61BD4" w:rsidRDefault="000B4EFC" w:rsidP="000B4EFC">
            <w:pPr>
              <w:tabs>
                <w:tab w:val="decimal" w:pos="270"/>
              </w:tabs>
              <w:spacing w:after="0" w:line="240" w:lineRule="auto"/>
              <w:rPr>
                <w:rFonts w:ascii="Verdana" w:hAnsi="Verdana" w:cs="Calibri"/>
                <w:color w:val="000000"/>
                <w:sz w:val="20"/>
                <w:szCs w:val="20"/>
              </w:rPr>
            </w:pPr>
            <w:r w:rsidRPr="00A61BD4">
              <w:rPr>
                <w:rFonts w:ascii="Verdana" w:hAnsi="Verdana" w:cs="Calibri"/>
                <w:color w:val="000000"/>
                <w:sz w:val="20"/>
                <w:szCs w:val="20"/>
              </w:rPr>
              <w:t>4.0</w:t>
            </w:r>
          </w:p>
        </w:tc>
        <w:tc>
          <w:tcPr>
            <w:tcW w:w="1234" w:type="dxa"/>
            <w:shd w:val="clear" w:color="auto" w:fill="auto"/>
            <w:noWrap/>
            <w:vAlign w:val="center"/>
          </w:tcPr>
          <w:p w14:paraId="3ABF3AF8" w14:textId="0D025DA0" w:rsidR="000B4EFC" w:rsidRPr="000B4EFC" w:rsidRDefault="000B4EFC" w:rsidP="000B4EFC">
            <w:pPr>
              <w:tabs>
                <w:tab w:val="decimal" w:pos="403"/>
              </w:tabs>
              <w:spacing w:after="0" w:line="240" w:lineRule="auto"/>
              <w:jc w:val="center"/>
              <w:rPr>
                <w:rFonts w:ascii="Verdana" w:hAnsi="Verdana" w:cs="Calibri"/>
                <w:color w:val="000000"/>
                <w:sz w:val="20"/>
                <w:szCs w:val="20"/>
              </w:rPr>
            </w:pPr>
            <w:r w:rsidRPr="000B4EFC">
              <w:rPr>
                <w:rFonts w:ascii="Verdana" w:hAnsi="Verdana" w:cs="Calibri"/>
                <w:color w:val="000000"/>
                <w:sz w:val="20"/>
                <w:szCs w:val="20"/>
              </w:rPr>
              <w:t>3.4</w:t>
            </w:r>
          </w:p>
        </w:tc>
        <w:tc>
          <w:tcPr>
            <w:tcW w:w="0" w:type="auto"/>
            <w:shd w:val="clear" w:color="auto" w:fill="auto"/>
            <w:noWrap/>
            <w:vAlign w:val="center"/>
          </w:tcPr>
          <w:p w14:paraId="5546084B" w14:textId="77777777" w:rsidR="000B4EFC" w:rsidRPr="00D8165E" w:rsidRDefault="000B4EFC" w:rsidP="000B4EFC">
            <w:pPr>
              <w:tabs>
                <w:tab w:val="decimal" w:pos="559"/>
              </w:tabs>
              <w:spacing w:after="0" w:line="240" w:lineRule="auto"/>
              <w:rPr>
                <w:rFonts w:ascii="Verdana" w:hAnsi="Verdana" w:cs="Calibri"/>
                <w:color w:val="000000"/>
                <w:sz w:val="20"/>
                <w:szCs w:val="20"/>
              </w:rPr>
            </w:pPr>
            <w:r w:rsidRPr="00D8165E">
              <w:rPr>
                <w:rFonts w:ascii="Verdana" w:hAnsi="Verdana" w:cs="Calibri"/>
                <w:color w:val="000000"/>
                <w:sz w:val="20"/>
                <w:szCs w:val="20"/>
              </w:rPr>
              <w:t>4.1</w:t>
            </w:r>
          </w:p>
        </w:tc>
        <w:tc>
          <w:tcPr>
            <w:tcW w:w="0" w:type="auto"/>
            <w:shd w:val="clear" w:color="auto" w:fill="auto"/>
            <w:noWrap/>
            <w:vAlign w:val="center"/>
          </w:tcPr>
          <w:p w14:paraId="7AB91B08" w14:textId="77777777" w:rsidR="000B4EFC" w:rsidRPr="00D8165E" w:rsidRDefault="000B4EFC" w:rsidP="000B4EFC">
            <w:pPr>
              <w:tabs>
                <w:tab w:val="decimal" w:pos="492"/>
              </w:tabs>
              <w:spacing w:after="0" w:line="240" w:lineRule="auto"/>
              <w:rPr>
                <w:rFonts w:ascii="Verdana" w:hAnsi="Verdana" w:cs="Calibri"/>
                <w:color w:val="000000"/>
                <w:sz w:val="20"/>
                <w:szCs w:val="20"/>
              </w:rPr>
            </w:pPr>
            <w:r w:rsidRPr="00D8165E">
              <w:rPr>
                <w:rFonts w:ascii="Verdana" w:hAnsi="Verdana" w:cs="Calibri"/>
                <w:color w:val="000000"/>
                <w:sz w:val="20"/>
                <w:szCs w:val="20"/>
              </w:rPr>
              <w:t>4.0</w:t>
            </w:r>
          </w:p>
        </w:tc>
      </w:tr>
      <w:tr w:rsidR="000B4EFC" w:rsidRPr="00F37FDE" w14:paraId="06B35402" w14:textId="77777777" w:rsidTr="000B4EFC">
        <w:trPr>
          <w:jc w:val="center"/>
        </w:trPr>
        <w:tc>
          <w:tcPr>
            <w:tcW w:w="4027" w:type="dxa"/>
            <w:shd w:val="clear" w:color="auto" w:fill="auto"/>
            <w:noWrap/>
            <w:vAlign w:val="bottom"/>
            <w:hideMark/>
          </w:tcPr>
          <w:p w14:paraId="316A5C71" w14:textId="77777777" w:rsidR="000B4EFC" w:rsidRPr="0051560A" w:rsidRDefault="000B4EFC" w:rsidP="000B4EFC">
            <w:pPr>
              <w:spacing w:after="0" w:line="240" w:lineRule="auto"/>
              <w:jc w:val="right"/>
              <w:rPr>
                <w:rFonts w:ascii="Verdana" w:hAnsi="Verdana" w:cs="Calibri"/>
                <w:color w:val="000000"/>
                <w:sz w:val="20"/>
                <w:szCs w:val="20"/>
              </w:rPr>
            </w:pPr>
            <w:r w:rsidRPr="0051560A">
              <w:rPr>
                <w:rFonts w:ascii="Verdana" w:hAnsi="Verdana" w:cs="Calibri"/>
                <w:color w:val="000000"/>
                <w:sz w:val="20"/>
                <w:szCs w:val="20"/>
              </w:rPr>
              <w:t>Other</w:t>
            </w:r>
          </w:p>
        </w:tc>
        <w:tc>
          <w:tcPr>
            <w:tcW w:w="858" w:type="dxa"/>
            <w:shd w:val="clear" w:color="auto" w:fill="auto"/>
            <w:noWrap/>
            <w:vAlign w:val="center"/>
          </w:tcPr>
          <w:p w14:paraId="58692288" w14:textId="77777777" w:rsidR="000B4EFC" w:rsidRPr="00A61BD4" w:rsidRDefault="000B4EFC" w:rsidP="000B4EFC">
            <w:pPr>
              <w:tabs>
                <w:tab w:val="decimal" w:pos="408"/>
              </w:tabs>
              <w:spacing w:after="0" w:line="240" w:lineRule="auto"/>
              <w:rPr>
                <w:rFonts w:ascii="Verdana" w:hAnsi="Verdana" w:cs="Calibri"/>
                <w:color w:val="000000"/>
                <w:sz w:val="20"/>
                <w:szCs w:val="20"/>
              </w:rPr>
            </w:pPr>
            <w:r w:rsidRPr="00A61BD4">
              <w:rPr>
                <w:rFonts w:ascii="Verdana" w:hAnsi="Verdana" w:cs="Calibri"/>
                <w:color w:val="000000"/>
                <w:sz w:val="20"/>
                <w:szCs w:val="20"/>
              </w:rPr>
              <w:t>14</w:t>
            </w:r>
          </w:p>
        </w:tc>
        <w:tc>
          <w:tcPr>
            <w:tcW w:w="843" w:type="dxa"/>
            <w:shd w:val="clear" w:color="auto" w:fill="auto"/>
            <w:noWrap/>
            <w:vAlign w:val="center"/>
          </w:tcPr>
          <w:p w14:paraId="545EA02F" w14:textId="77777777" w:rsidR="000B4EFC" w:rsidRPr="00A61BD4" w:rsidRDefault="000B4EFC" w:rsidP="000B4EFC">
            <w:pPr>
              <w:tabs>
                <w:tab w:val="decimal" w:pos="270"/>
              </w:tabs>
              <w:spacing w:after="0" w:line="240" w:lineRule="auto"/>
              <w:rPr>
                <w:rFonts w:ascii="Verdana" w:hAnsi="Verdana" w:cs="Calibri"/>
                <w:color w:val="000000"/>
                <w:sz w:val="20"/>
                <w:szCs w:val="20"/>
              </w:rPr>
            </w:pPr>
            <w:r w:rsidRPr="00A61BD4">
              <w:rPr>
                <w:rFonts w:ascii="Verdana" w:hAnsi="Verdana" w:cs="Calibri"/>
                <w:color w:val="000000"/>
                <w:sz w:val="20"/>
                <w:szCs w:val="20"/>
              </w:rPr>
              <w:t>1.3</w:t>
            </w:r>
          </w:p>
        </w:tc>
        <w:tc>
          <w:tcPr>
            <w:tcW w:w="1234" w:type="dxa"/>
            <w:shd w:val="clear" w:color="auto" w:fill="auto"/>
            <w:noWrap/>
            <w:vAlign w:val="center"/>
          </w:tcPr>
          <w:p w14:paraId="4D3410AD" w14:textId="4471A38B" w:rsidR="000B4EFC" w:rsidRPr="000B4EFC" w:rsidRDefault="000B4EFC" w:rsidP="000B4EFC">
            <w:pPr>
              <w:tabs>
                <w:tab w:val="decimal" w:pos="403"/>
              </w:tabs>
              <w:spacing w:after="0" w:line="240" w:lineRule="auto"/>
              <w:jc w:val="center"/>
              <w:rPr>
                <w:rFonts w:ascii="Verdana" w:hAnsi="Verdana" w:cs="Calibri"/>
                <w:color w:val="000000"/>
                <w:sz w:val="20"/>
                <w:szCs w:val="20"/>
              </w:rPr>
            </w:pPr>
            <w:r w:rsidRPr="000B4EFC">
              <w:rPr>
                <w:rFonts w:ascii="Verdana" w:hAnsi="Verdana" w:cs="Calibri"/>
                <w:color w:val="000000"/>
                <w:sz w:val="20"/>
                <w:szCs w:val="20"/>
              </w:rPr>
              <w:t>1.4</w:t>
            </w:r>
          </w:p>
        </w:tc>
        <w:tc>
          <w:tcPr>
            <w:tcW w:w="0" w:type="auto"/>
            <w:shd w:val="clear" w:color="auto" w:fill="auto"/>
            <w:noWrap/>
            <w:vAlign w:val="center"/>
          </w:tcPr>
          <w:p w14:paraId="6170A260" w14:textId="77777777" w:rsidR="000B4EFC" w:rsidRPr="00D8165E" w:rsidRDefault="000B4EFC" w:rsidP="000B4EFC">
            <w:pPr>
              <w:tabs>
                <w:tab w:val="decimal" w:pos="559"/>
              </w:tabs>
              <w:spacing w:after="0" w:line="240" w:lineRule="auto"/>
              <w:rPr>
                <w:rFonts w:ascii="Verdana" w:hAnsi="Verdana" w:cs="Calibri"/>
                <w:color w:val="000000"/>
                <w:sz w:val="20"/>
                <w:szCs w:val="24"/>
              </w:rPr>
            </w:pPr>
            <w:r w:rsidRPr="00D8165E">
              <w:rPr>
                <w:rFonts w:ascii="Verdana" w:hAnsi="Verdana" w:cs="Calibri"/>
                <w:color w:val="000000"/>
                <w:sz w:val="20"/>
                <w:szCs w:val="24"/>
              </w:rPr>
              <w:t>1.9</w:t>
            </w:r>
          </w:p>
        </w:tc>
        <w:tc>
          <w:tcPr>
            <w:tcW w:w="0" w:type="auto"/>
            <w:shd w:val="clear" w:color="auto" w:fill="auto"/>
            <w:noWrap/>
            <w:vAlign w:val="center"/>
          </w:tcPr>
          <w:p w14:paraId="39121B6F" w14:textId="77777777" w:rsidR="000B4EFC" w:rsidRPr="00D8165E" w:rsidRDefault="000B4EFC" w:rsidP="000B4EFC">
            <w:pPr>
              <w:tabs>
                <w:tab w:val="decimal" w:pos="492"/>
              </w:tabs>
              <w:spacing w:after="0" w:line="240" w:lineRule="auto"/>
              <w:rPr>
                <w:rFonts w:ascii="Verdana" w:hAnsi="Verdana" w:cs="Calibri"/>
                <w:color w:val="000000"/>
                <w:sz w:val="20"/>
                <w:szCs w:val="24"/>
              </w:rPr>
            </w:pPr>
            <w:r w:rsidRPr="00D8165E">
              <w:rPr>
                <w:rFonts w:ascii="Verdana" w:hAnsi="Verdana" w:cs="Calibri"/>
                <w:color w:val="000000"/>
                <w:sz w:val="20"/>
                <w:szCs w:val="24"/>
              </w:rPr>
              <w:t>2.2</w:t>
            </w:r>
          </w:p>
        </w:tc>
      </w:tr>
    </w:tbl>
    <w:p w14:paraId="28AA8CAC" w14:textId="77777777" w:rsidR="00780F9E" w:rsidRDefault="00B36C63" w:rsidP="00B36C63">
      <w:pPr>
        <w:pStyle w:val="NoSpacing"/>
        <w:spacing w:before="120"/>
        <w:jc w:val="center"/>
        <w:rPr>
          <w:rFonts w:ascii="Verdana" w:hAnsi="Verdana" w:cs="Arial"/>
          <w:i/>
          <w:sz w:val="20"/>
          <w:szCs w:val="24"/>
        </w:rPr>
      </w:pPr>
      <w:r w:rsidRPr="00F37FDE">
        <w:rPr>
          <w:rFonts w:ascii="Verdana" w:hAnsi="Verdana" w:cs="Arial"/>
          <w:i/>
          <w:sz w:val="20"/>
          <w:szCs w:val="24"/>
        </w:rPr>
        <w:t>Source: Census 2011, QS601E</w:t>
      </w:r>
    </w:p>
    <w:p w14:paraId="31E361F3" w14:textId="77777777" w:rsidR="008978D6" w:rsidRDefault="008978D6">
      <w:pPr>
        <w:rPr>
          <w:rFonts w:ascii="Verdana" w:hAnsi="Verdana" w:cs="Arial"/>
          <w:b/>
          <w:sz w:val="24"/>
          <w:szCs w:val="24"/>
        </w:rPr>
      </w:pPr>
      <w:r>
        <w:rPr>
          <w:rFonts w:ascii="Verdana" w:hAnsi="Verdana" w:cs="Arial"/>
          <w:b/>
          <w:sz w:val="24"/>
          <w:szCs w:val="24"/>
        </w:rPr>
        <w:br w:type="page"/>
      </w:r>
    </w:p>
    <w:p w14:paraId="7B317B58" w14:textId="77777777" w:rsidR="0045177B" w:rsidRPr="00F37FDE" w:rsidRDefault="0045177B" w:rsidP="008B5A87">
      <w:pPr>
        <w:pStyle w:val="NoSpacing"/>
        <w:jc w:val="both"/>
        <w:rPr>
          <w:rFonts w:ascii="Verdana" w:hAnsi="Verdana" w:cs="Arial"/>
          <w:b/>
          <w:sz w:val="24"/>
          <w:szCs w:val="24"/>
        </w:rPr>
      </w:pPr>
      <w:r w:rsidRPr="00F37FDE">
        <w:rPr>
          <w:rFonts w:ascii="Verdana" w:hAnsi="Verdana" w:cs="Arial"/>
          <w:b/>
          <w:sz w:val="24"/>
          <w:szCs w:val="24"/>
        </w:rPr>
        <w:lastRenderedPageBreak/>
        <w:t>Household Size</w:t>
      </w:r>
    </w:p>
    <w:p w14:paraId="3455D788" w14:textId="77777777" w:rsidR="000F4DB3" w:rsidRDefault="0045177B" w:rsidP="00987872">
      <w:pPr>
        <w:pStyle w:val="NoSpacing"/>
        <w:spacing w:before="120"/>
        <w:jc w:val="both"/>
        <w:rPr>
          <w:rFonts w:ascii="Verdana" w:hAnsi="Verdana" w:cs="Arial"/>
          <w:sz w:val="24"/>
          <w:szCs w:val="24"/>
        </w:rPr>
      </w:pPr>
      <w:r w:rsidRPr="00F37FDE">
        <w:rPr>
          <w:rFonts w:ascii="Verdana" w:hAnsi="Verdana" w:cs="Arial"/>
          <w:sz w:val="24"/>
          <w:szCs w:val="24"/>
        </w:rPr>
        <w:t xml:space="preserve">At the time of the 2011 Census, the average household size </w:t>
      </w:r>
      <w:r w:rsidR="00367F90" w:rsidRPr="00F37FDE">
        <w:rPr>
          <w:rFonts w:ascii="Verdana" w:hAnsi="Verdana" w:cs="Arial"/>
          <w:sz w:val="24"/>
          <w:szCs w:val="24"/>
        </w:rPr>
        <w:t xml:space="preserve">in the </w:t>
      </w:r>
      <w:r w:rsidR="00F64A4F">
        <w:rPr>
          <w:rFonts w:ascii="Verdana" w:hAnsi="Verdana" w:cs="Arial"/>
          <w:sz w:val="24"/>
          <w:szCs w:val="24"/>
        </w:rPr>
        <w:t>Blackfordby</w:t>
      </w:r>
      <w:r w:rsidR="00E36FF9">
        <w:rPr>
          <w:rFonts w:ascii="Verdana" w:hAnsi="Verdana" w:cs="Arial"/>
          <w:sz w:val="24"/>
          <w:szCs w:val="24"/>
        </w:rPr>
        <w:t xml:space="preserve"> </w:t>
      </w:r>
      <w:r w:rsidR="00F64A4F">
        <w:rPr>
          <w:rFonts w:ascii="Verdana" w:hAnsi="Verdana" w:cs="Arial"/>
          <w:sz w:val="24"/>
          <w:szCs w:val="24"/>
        </w:rPr>
        <w:t>Local area</w:t>
      </w:r>
      <w:r w:rsidR="00B633C0" w:rsidRPr="00F37FDE">
        <w:rPr>
          <w:rFonts w:ascii="Verdana" w:hAnsi="Verdana" w:cs="Arial"/>
          <w:sz w:val="24"/>
          <w:szCs w:val="24"/>
        </w:rPr>
        <w:t xml:space="preserve"> was </w:t>
      </w:r>
      <w:r w:rsidR="001777B1">
        <w:rPr>
          <w:rFonts w:ascii="Verdana" w:hAnsi="Verdana" w:cs="Arial"/>
          <w:sz w:val="24"/>
          <w:szCs w:val="24"/>
        </w:rPr>
        <w:t>2.</w:t>
      </w:r>
      <w:r w:rsidR="00690908">
        <w:rPr>
          <w:rFonts w:ascii="Verdana" w:hAnsi="Verdana" w:cs="Arial"/>
          <w:sz w:val="24"/>
          <w:szCs w:val="24"/>
        </w:rPr>
        <w:t>2</w:t>
      </w:r>
      <w:r w:rsidR="009C2AAD">
        <w:rPr>
          <w:rFonts w:ascii="Verdana" w:hAnsi="Verdana" w:cs="Arial"/>
          <w:sz w:val="24"/>
          <w:szCs w:val="24"/>
        </w:rPr>
        <w:t xml:space="preserve"> </w:t>
      </w:r>
      <w:r w:rsidRPr="00F37FDE">
        <w:rPr>
          <w:rFonts w:ascii="Verdana" w:hAnsi="Verdana" w:cs="Arial"/>
          <w:sz w:val="24"/>
          <w:szCs w:val="24"/>
        </w:rPr>
        <w:t>people which</w:t>
      </w:r>
      <w:r w:rsidR="000F4DB3">
        <w:rPr>
          <w:rFonts w:ascii="Verdana" w:hAnsi="Verdana" w:cs="Arial"/>
          <w:sz w:val="24"/>
          <w:szCs w:val="24"/>
        </w:rPr>
        <w:t xml:space="preserve"> </w:t>
      </w:r>
      <w:r w:rsidR="002C67B5">
        <w:rPr>
          <w:rFonts w:ascii="Verdana" w:hAnsi="Verdana" w:cs="Arial"/>
          <w:sz w:val="24"/>
          <w:szCs w:val="24"/>
        </w:rPr>
        <w:t xml:space="preserve">was </w:t>
      </w:r>
      <w:r w:rsidR="00690908">
        <w:rPr>
          <w:rFonts w:ascii="Verdana" w:hAnsi="Verdana" w:cs="Arial"/>
          <w:sz w:val="24"/>
          <w:szCs w:val="24"/>
        </w:rPr>
        <w:t>below</w:t>
      </w:r>
      <w:r w:rsidR="00204B5E">
        <w:rPr>
          <w:rFonts w:ascii="Verdana" w:hAnsi="Verdana" w:cs="Arial"/>
          <w:sz w:val="24"/>
          <w:szCs w:val="24"/>
        </w:rPr>
        <w:t xml:space="preserve"> the region</w:t>
      </w:r>
      <w:r w:rsidR="002C67B5">
        <w:rPr>
          <w:rFonts w:ascii="Verdana" w:hAnsi="Verdana" w:cs="Arial"/>
          <w:sz w:val="24"/>
          <w:szCs w:val="24"/>
        </w:rPr>
        <w:t xml:space="preserve"> (2.3)</w:t>
      </w:r>
      <w:r w:rsidR="00204B5E">
        <w:rPr>
          <w:rFonts w:ascii="Verdana" w:hAnsi="Verdana" w:cs="Arial"/>
          <w:sz w:val="24"/>
          <w:szCs w:val="24"/>
        </w:rPr>
        <w:t xml:space="preserve"> and the national and </w:t>
      </w:r>
      <w:r w:rsidR="00887B8D">
        <w:rPr>
          <w:rFonts w:ascii="Verdana" w:hAnsi="Verdana" w:cs="Arial"/>
          <w:sz w:val="24"/>
          <w:szCs w:val="24"/>
        </w:rPr>
        <w:t>borough</w:t>
      </w:r>
      <w:r w:rsidR="00204B5E">
        <w:rPr>
          <w:rFonts w:ascii="Verdana" w:hAnsi="Verdana" w:cs="Arial"/>
          <w:sz w:val="24"/>
          <w:szCs w:val="24"/>
        </w:rPr>
        <w:t xml:space="preserve"> (2.4) rate</w:t>
      </w:r>
      <w:r w:rsidR="002C67B5">
        <w:rPr>
          <w:rFonts w:ascii="Verdana" w:hAnsi="Verdana" w:cs="Arial"/>
          <w:sz w:val="24"/>
          <w:szCs w:val="24"/>
        </w:rPr>
        <w:t>s</w:t>
      </w:r>
      <w:r w:rsidR="000F4DB3">
        <w:rPr>
          <w:rFonts w:ascii="Verdana" w:hAnsi="Verdana" w:cs="Arial"/>
          <w:sz w:val="24"/>
          <w:szCs w:val="24"/>
        </w:rPr>
        <w:t>.</w:t>
      </w:r>
      <w:r w:rsidR="00B633C0" w:rsidRPr="00F37FDE">
        <w:rPr>
          <w:rFonts w:ascii="Verdana" w:hAnsi="Verdana" w:cs="Arial"/>
          <w:sz w:val="24"/>
          <w:szCs w:val="24"/>
        </w:rPr>
        <w:t xml:space="preserve"> </w:t>
      </w:r>
      <w:r w:rsidR="008C34F1">
        <w:rPr>
          <w:rFonts w:ascii="Verdana" w:hAnsi="Verdana" w:cs="Arial"/>
          <w:sz w:val="24"/>
          <w:szCs w:val="24"/>
        </w:rPr>
        <w:t>The</w:t>
      </w:r>
      <w:r w:rsidRPr="00F37FDE">
        <w:rPr>
          <w:rFonts w:ascii="Verdana" w:hAnsi="Verdana" w:cs="Arial"/>
          <w:sz w:val="24"/>
          <w:szCs w:val="24"/>
        </w:rPr>
        <w:t xml:space="preserve"> average </w:t>
      </w:r>
      <w:r w:rsidR="00395846">
        <w:rPr>
          <w:rFonts w:ascii="Verdana" w:hAnsi="Verdana" w:cs="Arial"/>
          <w:sz w:val="24"/>
          <w:szCs w:val="24"/>
        </w:rPr>
        <w:t>n</w:t>
      </w:r>
      <w:r w:rsidRPr="00F37FDE">
        <w:rPr>
          <w:rFonts w:ascii="Verdana" w:hAnsi="Verdana" w:cs="Arial"/>
          <w:sz w:val="24"/>
          <w:szCs w:val="24"/>
        </w:rPr>
        <w:t xml:space="preserve">umber of rooms per household </w:t>
      </w:r>
      <w:r w:rsidR="004538AA">
        <w:rPr>
          <w:rFonts w:ascii="Verdana" w:hAnsi="Verdana" w:cs="Arial"/>
          <w:sz w:val="24"/>
          <w:szCs w:val="24"/>
        </w:rPr>
        <w:t xml:space="preserve">stood </w:t>
      </w:r>
      <w:r w:rsidRPr="00F37FDE">
        <w:rPr>
          <w:rFonts w:ascii="Verdana" w:hAnsi="Verdana" w:cs="Arial"/>
          <w:sz w:val="24"/>
          <w:szCs w:val="24"/>
        </w:rPr>
        <w:t xml:space="preserve">at </w:t>
      </w:r>
      <w:r w:rsidR="00690908">
        <w:rPr>
          <w:rFonts w:ascii="Verdana" w:hAnsi="Verdana" w:cs="Arial"/>
          <w:sz w:val="24"/>
          <w:szCs w:val="24"/>
        </w:rPr>
        <w:t>5.9</w:t>
      </w:r>
      <w:r w:rsidR="00204B5E">
        <w:rPr>
          <w:rFonts w:ascii="Verdana" w:hAnsi="Verdana" w:cs="Arial"/>
          <w:sz w:val="24"/>
          <w:szCs w:val="24"/>
        </w:rPr>
        <w:t xml:space="preserve"> which </w:t>
      </w:r>
      <w:r w:rsidR="002C67B5">
        <w:rPr>
          <w:rFonts w:ascii="Verdana" w:hAnsi="Verdana" w:cs="Arial"/>
          <w:sz w:val="24"/>
          <w:szCs w:val="24"/>
        </w:rPr>
        <w:t>was</w:t>
      </w:r>
      <w:r w:rsidR="00690908">
        <w:rPr>
          <w:rFonts w:ascii="Verdana" w:hAnsi="Verdana" w:cs="Arial"/>
          <w:sz w:val="24"/>
          <w:szCs w:val="24"/>
        </w:rPr>
        <w:t xml:space="preserve"> in line with the borough average and above the regional (5.6) and </w:t>
      </w:r>
      <w:r w:rsidR="004538AA">
        <w:rPr>
          <w:rFonts w:ascii="Verdana" w:hAnsi="Verdana" w:cs="Arial"/>
          <w:sz w:val="24"/>
          <w:szCs w:val="24"/>
        </w:rPr>
        <w:t xml:space="preserve">England (5.4) </w:t>
      </w:r>
      <w:r w:rsidR="00690908">
        <w:rPr>
          <w:rFonts w:ascii="Verdana" w:hAnsi="Verdana" w:cs="Arial"/>
          <w:sz w:val="24"/>
          <w:szCs w:val="24"/>
        </w:rPr>
        <w:t>rat</w:t>
      </w:r>
      <w:r w:rsidR="004538AA">
        <w:rPr>
          <w:rFonts w:ascii="Verdana" w:hAnsi="Verdana" w:cs="Arial"/>
          <w:sz w:val="24"/>
          <w:szCs w:val="24"/>
        </w:rPr>
        <w:t>es.</w:t>
      </w:r>
    </w:p>
    <w:p w14:paraId="5C3A39EC" w14:textId="77777777" w:rsidR="004538AA" w:rsidRDefault="000F4DB3" w:rsidP="00616223">
      <w:pPr>
        <w:pStyle w:val="NoSpacing"/>
        <w:spacing w:before="120"/>
        <w:jc w:val="both"/>
        <w:rPr>
          <w:rFonts w:ascii="Verdana" w:hAnsi="Verdana" w:cs="Arial"/>
          <w:sz w:val="24"/>
          <w:szCs w:val="24"/>
        </w:rPr>
      </w:pPr>
      <w:r>
        <w:rPr>
          <w:rFonts w:ascii="Verdana" w:hAnsi="Verdana" w:cs="Arial"/>
          <w:sz w:val="24"/>
          <w:szCs w:val="24"/>
        </w:rPr>
        <w:t>T</w:t>
      </w:r>
      <w:r w:rsidR="0045177B" w:rsidRPr="00F37FDE">
        <w:rPr>
          <w:rFonts w:ascii="Verdana" w:hAnsi="Verdana" w:cs="Arial"/>
          <w:sz w:val="24"/>
          <w:szCs w:val="24"/>
        </w:rPr>
        <w:t>he average number of bedrooms per household st</w:t>
      </w:r>
      <w:r>
        <w:rPr>
          <w:rFonts w:ascii="Verdana" w:hAnsi="Verdana" w:cs="Arial"/>
          <w:sz w:val="24"/>
          <w:szCs w:val="24"/>
        </w:rPr>
        <w:t xml:space="preserve">ood at </w:t>
      </w:r>
      <w:r w:rsidR="00690908">
        <w:rPr>
          <w:rFonts w:ascii="Verdana" w:hAnsi="Verdana" w:cs="Arial"/>
          <w:sz w:val="24"/>
          <w:szCs w:val="24"/>
        </w:rPr>
        <w:t>2.9</w:t>
      </w:r>
      <w:r>
        <w:rPr>
          <w:rFonts w:ascii="Verdana" w:hAnsi="Verdana" w:cs="Arial"/>
          <w:sz w:val="24"/>
          <w:szCs w:val="24"/>
        </w:rPr>
        <w:t xml:space="preserve"> which </w:t>
      </w:r>
      <w:r w:rsidR="002C67B5">
        <w:rPr>
          <w:rFonts w:ascii="Verdana" w:hAnsi="Verdana" w:cs="Arial"/>
          <w:sz w:val="24"/>
          <w:szCs w:val="24"/>
        </w:rPr>
        <w:t xml:space="preserve">was </w:t>
      </w:r>
      <w:r w:rsidR="00690908">
        <w:rPr>
          <w:rFonts w:ascii="Verdana" w:hAnsi="Verdana" w:cs="Arial"/>
          <w:sz w:val="24"/>
          <w:szCs w:val="24"/>
        </w:rPr>
        <w:t>and higher than the reg</w:t>
      </w:r>
      <w:r w:rsidR="004538AA">
        <w:rPr>
          <w:rFonts w:ascii="Verdana" w:hAnsi="Verdana" w:cs="Arial"/>
          <w:sz w:val="24"/>
          <w:szCs w:val="24"/>
        </w:rPr>
        <w:t>ion (2.8) and England (2.7) rates.</w:t>
      </w:r>
    </w:p>
    <w:p w14:paraId="40CCF172" w14:textId="77777777" w:rsidR="007C00A1" w:rsidRDefault="007C00A1" w:rsidP="008B5A87">
      <w:pPr>
        <w:pStyle w:val="NoSpacing"/>
        <w:jc w:val="both"/>
        <w:rPr>
          <w:rFonts w:ascii="Verdana" w:hAnsi="Verdana" w:cs="Arial"/>
          <w:b/>
          <w:sz w:val="24"/>
          <w:szCs w:val="24"/>
        </w:rPr>
      </w:pPr>
    </w:p>
    <w:p w14:paraId="11576CAC" w14:textId="77777777" w:rsidR="00285C34" w:rsidRPr="00F37FDE" w:rsidRDefault="00265157" w:rsidP="008B5A87">
      <w:pPr>
        <w:pStyle w:val="NoSpacing"/>
        <w:jc w:val="both"/>
        <w:rPr>
          <w:rFonts w:ascii="Verdana" w:hAnsi="Verdana" w:cs="Arial"/>
          <w:b/>
          <w:sz w:val="24"/>
          <w:szCs w:val="24"/>
        </w:rPr>
      </w:pPr>
      <w:r w:rsidRPr="00F37FDE">
        <w:rPr>
          <w:rFonts w:ascii="Verdana" w:hAnsi="Verdana" w:cs="Arial"/>
          <w:b/>
          <w:sz w:val="24"/>
          <w:szCs w:val="24"/>
        </w:rPr>
        <w:t>Housing Characteristics</w:t>
      </w:r>
    </w:p>
    <w:p w14:paraId="61F0B62F" w14:textId="77777777" w:rsidR="005E5471" w:rsidRPr="00F37FDE" w:rsidRDefault="005E5471" w:rsidP="003509C8">
      <w:pPr>
        <w:pStyle w:val="NoSpacing"/>
        <w:spacing w:before="120"/>
        <w:jc w:val="both"/>
        <w:rPr>
          <w:rFonts w:ascii="Verdana" w:hAnsi="Verdana" w:cs="Arial"/>
          <w:b/>
          <w:i/>
          <w:sz w:val="24"/>
          <w:szCs w:val="24"/>
        </w:rPr>
      </w:pPr>
      <w:r w:rsidRPr="00F37FDE">
        <w:rPr>
          <w:rFonts w:ascii="Verdana" w:hAnsi="Verdana" w:cs="Arial"/>
          <w:b/>
          <w:i/>
          <w:sz w:val="24"/>
          <w:szCs w:val="24"/>
        </w:rPr>
        <w:t>Tenure</w:t>
      </w:r>
    </w:p>
    <w:p w14:paraId="6A8A0FA6" w14:textId="77777777" w:rsidR="00E042F0" w:rsidRDefault="00E042F0" w:rsidP="00E042F0">
      <w:pPr>
        <w:pStyle w:val="NoSpacing"/>
        <w:spacing w:before="120"/>
        <w:jc w:val="both"/>
        <w:rPr>
          <w:rFonts w:ascii="Verdana" w:hAnsi="Verdana" w:cs="Arial"/>
          <w:sz w:val="24"/>
          <w:szCs w:val="24"/>
        </w:rPr>
      </w:pPr>
      <w:r>
        <w:rPr>
          <w:rFonts w:ascii="Verdana" w:hAnsi="Verdana" w:cs="Arial"/>
          <w:sz w:val="24"/>
          <w:szCs w:val="24"/>
        </w:rPr>
        <w:t xml:space="preserve">Home ownership levels are high with around </w:t>
      </w:r>
      <w:r w:rsidR="00E24D62">
        <w:rPr>
          <w:rFonts w:ascii="Verdana" w:hAnsi="Verdana" w:cs="Arial"/>
          <w:sz w:val="24"/>
          <w:szCs w:val="24"/>
        </w:rPr>
        <w:t>8</w:t>
      </w:r>
      <w:r w:rsidR="004C695F">
        <w:rPr>
          <w:rFonts w:ascii="Verdana" w:hAnsi="Verdana" w:cs="Arial"/>
          <w:sz w:val="24"/>
          <w:szCs w:val="24"/>
        </w:rPr>
        <w:t>1</w:t>
      </w:r>
      <w:r>
        <w:rPr>
          <w:rFonts w:ascii="Verdana" w:hAnsi="Verdana" w:cs="Arial"/>
          <w:sz w:val="24"/>
          <w:szCs w:val="24"/>
        </w:rPr>
        <w:t xml:space="preserve">% of households owning their homes outright or with a mortgage or loan. </w:t>
      </w:r>
      <w:r w:rsidR="00E24D62">
        <w:rPr>
          <w:rFonts w:ascii="Verdana" w:hAnsi="Verdana" w:cs="Arial"/>
          <w:sz w:val="24"/>
          <w:szCs w:val="24"/>
        </w:rPr>
        <w:t>T</w:t>
      </w:r>
      <w:r>
        <w:rPr>
          <w:rFonts w:ascii="Verdana" w:hAnsi="Verdana" w:cs="Arial"/>
          <w:sz w:val="24"/>
          <w:szCs w:val="24"/>
        </w:rPr>
        <w:t xml:space="preserve">his is </w:t>
      </w:r>
      <w:r w:rsidR="00E24D62">
        <w:rPr>
          <w:rFonts w:ascii="Verdana" w:hAnsi="Verdana" w:cs="Arial"/>
          <w:sz w:val="24"/>
          <w:szCs w:val="24"/>
        </w:rPr>
        <w:t xml:space="preserve">somewhat higher than the </w:t>
      </w:r>
      <w:r w:rsidR="00887B8D">
        <w:rPr>
          <w:rFonts w:ascii="Verdana" w:hAnsi="Verdana" w:cs="Arial"/>
          <w:sz w:val="24"/>
          <w:szCs w:val="24"/>
        </w:rPr>
        <w:t>borough</w:t>
      </w:r>
      <w:r w:rsidR="00E24D62">
        <w:rPr>
          <w:rFonts w:ascii="Verdana" w:hAnsi="Verdana" w:cs="Arial"/>
          <w:sz w:val="24"/>
          <w:szCs w:val="24"/>
        </w:rPr>
        <w:t xml:space="preserve"> (</w:t>
      </w:r>
      <w:r w:rsidR="004C695F">
        <w:rPr>
          <w:rFonts w:ascii="Verdana" w:hAnsi="Verdana" w:cs="Arial"/>
          <w:sz w:val="24"/>
          <w:szCs w:val="24"/>
        </w:rPr>
        <w:t>7</w:t>
      </w:r>
      <w:r w:rsidR="00E24D62">
        <w:rPr>
          <w:rFonts w:ascii="Verdana" w:hAnsi="Verdana" w:cs="Arial"/>
          <w:sz w:val="24"/>
          <w:szCs w:val="24"/>
        </w:rPr>
        <w:t>2</w:t>
      </w:r>
      <w:r>
        <w:rPr>
          <w:rFonts w:ascii="Verdana" w:hAnsi="Verdana" w:cs="Arial"/>
          <w:sz w:val="24"/>
          <w:szCs w:val="24"/>
        </w:rPr>
        <w:t xml:space="preserve">%), regional (67%) and national (63%) rates. </w:t>
      </w:r>
      <w:r w:rsidR="002C67B5">
        <w:rPr>
          <w:rFonts w:ascii="Verdana" w:hAnsi="Verdana" w:cs="Arial"/>
          <w:sz w:val="24"/>
          <w:szCs w:val="24"/>
        </w:rPr>
        <w:t xml:space="preserve">Just </w:t>
      </w:r>
      <w:r w:rsidR="004C695F">
        <w:rPr>
          <w:rFonts w:ascii="Verdana" w:hAnsi="Verdana" w:cs="Arial"/>
          <w:sz w:val="24"/>
          <w:szCs w:val="24"/>
        </w:rPr>
        <w:t>4</w:t>
      </w:r>
      <w:r w:rsidR="002C67B5">
        <w:rPr>
          <w:rFonts w:ascii="Verdana" w:hAnsi="Verdana" w:cs="Arial"/>
          <w:sz w:val="24"/>
          <w:szCs w:val="24"/>
        </w:rPr>
        <w:t>%</w:t>
      </w:r>
      <w:r>
        <w:rPr>
          <w:rFonts w:ascii="Verdana" w:hAnsi="Verdana" w:cs="Arial"/>
          <w:sz w:val="24"/>
          <w:szCs w:val="24"/>
        </w:rPr>
        <w:t xml:space="preserve"> of households live in private rented accommodation which is </w:t>
      </w:r>
      <w:r w:rsidR="00E24D62">
        <w:rPr>
          <w:rFonts w:ascii="Verdana" w:hAnsi="Verdana" w:cs="Arial"/>
          <w:sz w:val="24"/>
          <w:szCs w:val="24"/>
        </w:rPr>
        <w:t>lower</w:t>
      </w:r>
      <w:r>
        <w:rPr>
          <w:rFonts w:ascii="Verdana" w:hAnsi="Verdana" w:cs="Arial"/>
          <w:sz w:val="24"/>
          <w:szCs w:val="24"/>
        </w:rPr>
        <w:t xml:space="preserve"> than the </w:t>
      </w:r>
      <w:r w:rsidR="00887B8D">
        <w:rPr>
          <w:rFonts w:ascii="Verdana" w:hAnsi="Verdana" w:cs="Arial"/>
          <w:sz w:val="24"/>
          <w:szCs w:val="24"/>
        </w:rPr>
        <w:t>borough</w:t>
      </w:r>
      <w:r w:rsidR="004C695F">
        <w:rPr>
          <w:rFonts w:ascii="Verdana" w:hAnsi="Verdana" w:cs="Arial"/>
          <w:sz w:val="24"/>
          <w:szCs w:val="24"/>
        </w:rPr>
        <w:t xml:space="preserve"> (11%)</w:t>
      </w:r>
      <w:r w:rsidR="002C67B5">
        <w:rPr>
          <w:rFonts w:ascii="Verdana" w:hAnsi="Verdana" w:cs="Arial"/>
          <w:sz w:val="24"/>
          <w:szCs w:val="24"/>
        </w:rPr>
        <w:t>,</w:t>
      </w:r>
      <w:r>
        <w:rPr>
          <w:rFonts w:ascii="Verdana" w:hAnsi="Verdana" w:cs="Arial"/>
          <w:sz w:val="24"/>
          <w:szCs w:val="24"/>
        </w:rPr>
        <w:t xml:space="preserve"> </w:t>
      </w:r>
      <w:r w:rsidR="002C67B5">
        <w:rPr>
          <w:rFonts w:ascii="Verdana" w:hAnsi="Verdana" w:cs="Arial"/>
          <w:sz w:val="24"/>
          <w:szCs w:val="24"/>
        </w:rPr>
        <w:t>r</w:t>
      </w:r>
      <w:r>
        <w:rPr>
          <w:rFonts w:ascii="Verdana" w:hAnsi="Verdana" w:cs="Arial"/>
          <w:sz w:val="24"/>
          <w:szCs w:val="24"/>
        </w:rPr>
        <w:t>egion (1</w:t>
      </w:r>
      <w:r w:rsidR="00E24D62">
        <w:rPr>
          <w:rFonts w:ascii="Verdana" w:hAnsi="Verdana" w:cs="Arial"/>
          <w:sz w:val="24"/>
          <w:szCs w:val="24"/>
        </w:rPr>
        <w:t>5%) and national (17</w:t>
      </w:r>
      <w:r>
        <w:rPr>
          <w:rFonts w:ascii="Verdana" w:hAnsi="Verdana" w:cs="Arial"/>
          <w:sz w:val="24"/>
          <w:szCs w:val="24"/>
        </w:rPr>
        <w:t xml:space="preserve">%) rates. Around </w:t>
      </w:r>
      <w:r w:rsidR="004C695F">
        <w:rPr>
          <w:rFonts w:ascii="Verdana" w:hAnsi="Verdana" w:cs="Arial"/>
          <w:sz w:val="24"/>
          <w:szCs w:val="24"/>
        </w:rPr>
        <w:t>13</w:t>
      </w:r>
      <w:r>
        <w:rPr>
          <w:rFonts w:ascii="Verdana" w:hAnsi="Verdana" w:cs="Arial"/>
          <w:sz w:val="24"/>
          <w:szCs w:val="24"/>
        </w:rPr>
        <w:t xml:space="preserve">% of households live in social rented accommodation which </w:t>
      </w:r>
      <w:r w:rsidR="0051560A">
        <w:rPr>
          <w:rFonts w:ascii="Verdana" w:hAnsi="Verdana" w:cs="Arial"/>
          <w:sz w:val="24"/>
          <w:szCs w:val="24"/>
        </w:rPr>
        <w:t>was</w:t>
      </w:r>
      <w:r w:rsidR="00F90D70">
        <w:rPr>
          <w:rFonts w:ascii="Verdana" w:hAnsi="Verdana" w:cs="Arial"/>
          <w:sz w:val="24"/>
          <w:szCs w:val="24"/>
        </w:rPr>
        <w:t xml:space="preserve"> </w:t>
      </w:r>
      <w:r w:rsidR="00E24D62">
        <w:rPr>
          <w:rFonts w:ascii="Verdana" w:hAnsi="Verdana" w:cs="Arial"/>
          <w:sz w:val="24"/>
          <w:szCs w:val="24"/>
        </w:rPr>
        <w:t>lower than</w:t>
      </w:r>
      <w:r>
        <w:rPr>
          <w:rFonts w:ascii="Verdana" w:hAnsi="Verdana" w:cs="Arial"/>
          <w:sz w:val="24"/>
          <w:szCs w:val="24"/>
        </w:rPr>
        <w:t xml:space="preserve"> the </w:t>
      </w:r>
      <w:r w:rsidR="00887B8D">
        <w:rPr>
          <w:rFonts w:ascii="Verdana" w:hAnsi="Verdana" w:cs="Arial"/>
          <w:sz w:val="24"/>
          <w:szCs w:val="24"/>
        </w:rPr>
        <w:t>borough</w:t>
      </w:r>
      <w:r w:rsidR="00E24D62">
        <w:rPr>
          <w:rFonts w:ascii="Verdana" w:hAnsi="Verdana" w:cs="Arial"/>
          <w:sz w:val="24"/>
          <w:szCs w:val="24"/>
        </w:rPr>
        <w:t xml:space="preserve"> (</w:t>
      </w:r>
      <w:r w:rsidR="004C695F">
        <w:rPr>
          <w:rFonts w:ascii="Verdana" w:hAnsi="Verdana" w:cs="Arial"/>
          <w:sz w:val="24"/>
          <w:szCs w:val="24"/>
        </w:rPr>
        <w:t>14</w:t>
      </w:r>
      <w:r w:rsidR="00E24D62">
        <w:rPr>
          <w:rFonts w:ascii="Verdana" w:hAnsi="Verdana" w:cs="Arial"/>
          <w:sz w:val="24"/>
          <w:szCs w:val="24"/>
        </w:rPr>
        <w:t>%),</w:t>
      </w:r>
      <w:r>
        <w:rPr>
          <w:rFonts w:ascii="Verdana" w:hAnsi="Verdana" w:cs="Arial"/>
          <w:sz w:val="24"/>
          <w:szCs w:val="24"/>
        </w:rPr>
        <w:t xml:space="preserve"> regional (16%) and national (18%) rates.</w:t>
      </w:r>
    </w:p>
    <w:p w14:paraId="4D8746B2" w14:textId="77777777" w:rsidR="00A90BA8" w:rsidRDefault="00A90BA8" w:rsidP="001507B5">
      <w:pPr>
        <w:pStyle w:val="NoSpacing"/>
        <w:jc w:val="both"/>
        <w:rPr>
          <w:rFonts w:ascii="Verdana" w:hAnsi="Verdana" w:cs="Arial"/>
          <w:sz w:val="18"/>
          <w:szCs w:val="24"/>
        </w:rPr>
      </w:pPr>
    </w:p>
    <w:p w14:paraId="59AFEA03" w14:textId="77777777" w:rsidR="005E5471" w:rsidRPr="00F37FDE" w:rsidRDefault="005E5471" w:rsidP="00A215FC">
      <w:pPr>
        <w:pStyle w:val="Caption"/>
        <w:keepNext/>
        <w:spacing w:after="120"/>
        <w:jc w:val="center"/>
        <w:rPr>
          <w:rFonts w:ascii="Verdana" w:hAnsi="Verdana" w:cs="Arial"/>
          <w:b/>
          <w:sz w:val="22"/>
          <w:szCs w:val="24"/>
        </w:rPr>
      </w:pPr>
      <w:r w:rsidRPr="00F37FDE">
        <w:rPr>
          <w:rFonts w:ascii="Verdana" w:hAnsi="Verdana" w:cs="Arial"/>
          <w:b/>
          <w:sz w:val="22"/>
          <w:szCs w:val="24"/>
        </w:rPr>
        <w:t xml:space="preserve">Table </w:t>
      </w:r>
      <w:r w:rsidRPr="00F37FDE">
        <w:rPr>
          <w:rFonts w:ascii="Verdana" w:hAnsi="Verdana" w:cs="Arial"/>
          <w:b/>
          <w:sz w:val="22"/>
          <w:szCs w:val="24"/>
        </w:rPr>
        <w:fldChar w:fldCharType="begin"/>
      </w:r>
      <w:r w:rsidRPr="00F37FDE">
        <w:rPr>
          <w:rFonts w:ascii="Verdana" w:hAnsi="Verdana" w:cs="Arial"/>
          <w:b/>
          <w:sz w:val="22"/>
          <w:szCs w:val="24"/>
        </w:rPr>
        <w:instrText xml:space="preserve"> SEQ Table \* ARABIC </w:instrText>
      </w:r>
      <w:r w:rsidRPr="00F37FDE">
        <w:rPr>
          <w:rFonts w:ascii="Verdana" w:hAnsi="Verdana" w:cs="Arial"/>
          <w:b/>
          <w:sz w:val="22"/>
          <w:szCs w:val="24"/>
        </w:rPr>
        <w:fldChar w:fldCharType="separate"/>
      </w:r>
      <w:r w:rsidR="00CA4EB9">
        <w:rPr>
          <w:rFonts w:ascii="Verdana" w:hAnsi="Verdana" w:cs="Arial"/>
          <w:b/>
          <w:noProof/>
          <w:sz w:val="22"/>
          <w:szCs w:val="24"/>
        </w:rPr>
        <w:t>3</w:t>
      </w:r>
      <w:r w:rsidRPr="00F37FDE">
        <w:rPr>
          <w:rFonts w:ascii="Verdana" w:hAnsi="Verdana" w:cs="Arial"/>
          <w:b/>
          <w:sz w:val="22"/>
          <w:szCs w:val="24"/>
        </w:rPr>
        <w:fldChar w:fldCharType="end"/>
      </w:r>
      <w:r w:rsidRPr="00F37FDE">
        <w:rPr>
          <w:rFonts w:ascii="Verdana" w:hAnsi="Verdana" w:cs="Arial"/>
          <w:b/>
          <w:sz w:val="22"/>
          <w:szCs w:val="24"/>
        </w:rPr>
        <w:t>: Tenure, 2011</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982"/>
        <w:gridCol w:w="866"/>
        <w:gridCol w:w="1490"/>
        <w:gridCol w:w="1217"/>
        <w:gridCol w:w="1120"/>
      </w:tblGrid>
      <w:tr w:rsidR="00A07A22" w:rsidRPr="00F37FDE" w14:paraId="6856A35E" w14:textId="77777777" w:rsidTr="00AA5F7E">
        <w:trPr>
          <w:jc w:val="center"/>
        </w:trPr>
        <w:tc>
          <w:tcPr>
            <w:tcW w:w="4292" w:type="dxa"/>
            <w:vMerge w:val="restart"/>
            <w:shd w:val="clear" w:color="auto" w:fill="DEEAF6" w:themeFill="accent1" w:themeFillTint="33"/>
            <w:noWrap/>
            <w:vAlign w:val="center"/>
          </w:tcPr>
          <w:p w14:paraId="4CB15CA4" w14:textId="77777777" w:rsidR="005E5471" w:rsidRPr="00F37FDE" w:rsidRDefault="005E5471" w:rsidP="008B5A87">
            <w:pPr>
              <w:spacing w:after="0" w:line="240" w:lineRule="auto"/>
              <w:jc w:val="both"/>
              <w:rPr>
                <w:rFonts w:ascii="Verdana" w:eastAsia="Times New Roman" w:hAnsi="Verdana" w:cs="Arial"/>
                <w:b/>
                <w:bCs/>
                <w:color w:val="000000"/>
                <w:sz w:val="20"/>
                <w:szCs w:val="20"/>
                <w:lang w:eastAsia="en-GB"/>
              </w:rPr>
            </w:pPr>
          </w:p>
        </w:tc>
        <w:tc>
          <w:tcPr>
            <w:tcW w:w="1848" w:type="dxa"/>
            <w:gridSpan w:val="2"/>
            <w:shd w:val="clear" w:color="auto" w:fill="DEEAF6" w:themeFill="accent1" w:themeFillTint="33"/>
            <w:noWrap/>
            <w:vAlign w:val="center"/>
            <w:hideMark/>
          </w:tcPr>
          <w:p w14:paraId="4B3BDA77" w14:textId="77777777" w:rsidR="005E5471" w:rsidRPr="00F37FDE" w:rsidRDefault="00F64A4F" w:rsidP="001C020C">
            <w:pPr>
              <w:spacing w:after="0" w:line="240" w:lineRule="auto"/>
              <w:jc w:val="center"/>
              <w:rPr>
                <w:rFonts w:ascii="Verdana" w:eastAsia="Times New Roman" w:hAnsi="Verdana" w:cs="Arial"/>
                <w:b/>
                <w:color w:val="000000"/>
                <w:sz w:val="20"/>
                <w:szCs w:val="20"/>
                <w:lang w:eastAsia="en-GB"/>
              </w:rPr>
            </w:pPr>
            <w:r>
              <w:rPr>
                <w:rFonts w:ascii="Verdana" w:eastAsia="Times New Roman" w:hAnsi="Verdana" w:cs="Arial"/>
                <w:b/>
                <w:color w:val="000000"/>
                <w:sz w:val="20"/>
                <w:szCs w:val="20"/>
                <w:lang w:eastAsia="en-GB"/>
              </w:rPr>
              <w:t>Blackfordby</w:t>
            </w:r>
            <w:r w:rsidR="00E36FF9">
              <w:rPr>
                <w:rFonts w:ascii="Verdana" w:eastAsia="Times New Roman" w:hAnsi="Verdana" w:cs="Arial"/>
                <w:b/>
                <w:color w:val="000000"/>
                <w:sz w:val="20"/>
                <w:szCs w:val="20"/>
                <w:lang w:eastAsia="en-GB"/>
              </w:rPr>
              <w:t xml:space="preserve"> </w:t>
            </w:r>
          </w:p>
        </w:tc>
        <w:tc>
          <w:tcPr>
            <w:tcW w:w="1490" w:type="dxa"/>
            <w:shd w:val="clear" w:color="auto" w:fill="DEEAF6" w:themeFill="accent1" w:themeFillTint="33"/>
            <w:noWrap/>
            <w:vAlign w:val="center"/>
            <w:hideMark/>
          </w:tcPr>
          <w:p w14:paraId="5238EDBB" w14:textId="77777777" w:rsidR="005E5471" w:rsidRPr="00F37FDE" w:rsidRDefault="00F64A4F" w:rsidP="00E568F8">
            <w:pPr>
              <w:tabs>
                <w:tab w:val="left" w:pos="1574"/>
                <w:tab w:val="left" w:pos="1673"/>
              </w:tabs>
              <w:spacing w:after="0" w:line="240" w:lineRule="auto"/>
              <w:jc w:val="center"/>
              <w:rPr>
                <w:rFonts w:ascii="Verdana" w:eastAsia="Times New Roman" w:hAnsi="Verdana" w:cs="Arial"/>
                <w:b/>
                <w:color w:val="000000"/>
                <w:sz w:val="20"/>
                <w:szCs w:val="20"/>
                <w:lang w:eastAsia="en-GB"/>
              </w:rPr>
            </w:pPr>
            <w:r>
              <w:rPr>
                <w:rFonts w:ascii="Verdana" w:eastAsia="Times New Roman" w:hAnsi="Verdana" w:cs="Arial"/>
                <w:b/>
                <w:color w:val="000000"/>
                <w:sz w:val="20"/>
                <w:szCs w:val="20"/>
                <w:lang w:eastAsia="en-GB"/>
              </w:rPr>
              <w:t>NW Leics</w:t>
            </w:r>
          </w:p>
        </w:tc>
        <w:tc>
          <w:tcPr>
            <w:tcW w:w="1217" w:type="dxa"/>
            <w:shd w:val="clear" w:color="auto" w:fill="DEEAF6" w:themeFill="accent1" w:themeFillTint="33"/>
            <w:noWrap/>
            <w:vAlign w:val="center"/>
            <w:hideMark/>
          </w:tcPr>
          <w:p w14:paraId="6D050B5A" w14:textId="77777777" w:rsidR="005E5471" w:rsidRPr="00F37FDE" w:rsidRDefault="000A5F7D" w:rsidP="00E568F8">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East</w:t>
            </w:r>
            <w:r w:rsidR="007D7C4C" w:rsidRPr="00F37FDE">
              <w:rPr>
                <w:rFonts w:ascii="Verdana" w:eastAsia="Times New Roman" w:hAnsi="Verdana" w:cs="Arial"/>
                <w:b/>
                <w:color w:val="000000"/>
                <w:sz w:val="20"/>
                <w:szCs w:val="20"/>
                <w:lang w:eastAsia="en-GB"/>
              </w:rPr>
              <w:br/>
            </w:r>
            <w:r w:rsidRPr="00F37FDE">
              <w:rPr>
                <w:rFonts w:ascii="Verdana" w:eastAsia="Times New Roman" w:hAnsi="Verdana" w:cs="Arial"/>
                <w:b/>
                <w:color w:val="000000"/>
                <w:sz w:val="20"/>
                <w:szCs w:val="20"/>
                <w:lang w:eastAsia="en-GB"/>
              </w:rPr>
              <w:t>Midlands</w:t>
            </w:r>
          </w:p>
        </w:tc>
        <w:tc>
          <w:tcPr>
            <w:tcW w:w="1120" w:type="dxa"/>
            <w:shd w:val="clear" w:color="auto" w:fill="DEEAF6" w:themeFill="accent1" w:themeFillTint="33"/>
            <w:noWrap/>
            <w:vAlign w:val="center"/>
            <w:hideMark/>
          </w:tcPr>
          <w:p w14:paraId="75917587" w14:textId="77777777" w:rsidR="005E5471" w:rsidRPr="00F37FDE" w:rsidRDefault="005E5471" w:rsidP="00E568F8">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Eng</w:t>
            </w:r>
            <w:r w:rsidR="00A07A22" w:rsidRPr="00F37FDE">
              <w:rPr>
                <w:rFonts w:ascii="Verdana" w:eastAsia="Times New Roman" w:hAnsi="Verdana" w:cs="Arial"/>
                <w:b/>
                <w:color w:val="000000"/>
                <w:sz w:val="20"/>
                <w:szCs w:val="20"/>
                <w:lang w:eastAsia="en-GB"/>
              </w:rPr>
              <w:t>land</w:t>
            </w:r>
          </w:p>
        </w:tc>
      </w:tr>
      <w:tr w:rsidR="00A07A22" w:rsidRPr="00F37FDE" w14:paraId="09B1DD77" w14:textId="77777777" w:rsidTr="00AA5F7E">
        <w:trPr>
          <w:jc w:val="center"/>
        </w:trPr>
        <w:tc>
          <w:tcPr>
            <w:tcW w:w="4292" w:type="dxa"/>
            <w:vMerge/>
            <w:shd w:val="clear" w:color="auto" w:fill="DEEAF6" w:themeFill="accent1" w:themeFillTint="33"/>
            <w:noWrap/>
            <w:vAlign w:val="center"/>
          </w:tcPr>
          <w:p w14:paraId="5EC63991" w14:textId="77777777" w:rsidR="005E5471" w:rsidRPr="00F37FDE" w:rsidRDefault="005E5471" w:rsidP="008B5A87">
            <w:pPr>
              <w:spacing w:after="0" w:line="240" w:lineRule="auto"/>
              <w:jc w:val="both"/>
              <w:rPr>
                <w:rFonts w:ascii="Verdana" w:eastAsia="Times New Roman" w:hAnsi="Verdana" w:cs="Arial"/>
                <w:b/>
                <w:bCs/>
                <w:color w:val="000000"/>
                <w:sz w:val="20"/>
                <w:szCs w:val="20"/>
                <w:lang w:eastAsia="en-GB"/>
              </w:rPr>
            </w:pPr>
          </w:p>
        </w:tc>
        <w:tc>
          <w:tcPr>
            <w:tcW w:w="982" w:type="dxa"/>
            <w:shd w:val="clear" w:color="auto" w:fill="DEEAF6" w:themeFill="accent1" w:themeFillTint="33"/>
            <w:noWrap/>
            <w:vAlign w:val="center"/>
          </w:tcPr>
          <w:p w14:paraId="759B6982" w14:textId="77777777" w:rsidR="005E5471" w:rsidRPr="00F37FDE" w:rsidRDefault="005E5471" w:rsidP="00E568F8">
            <w:pPr>
              <w:spacing w:after="0" w:line="240" w:lineRule="auto"/>
              <w:jc w:val="center"/>
              <w:rPr>
                <w:rFonts w:ascii="Verdana" w:eastAsia="Times New Roman" w:hAnsi="Verdana" w:cs="Arial"/>
                <w:b/>
                <w:bCs/>
                <w:color w:val="000000"/>
                <w:sz w:val="20"/>
                <w:szCs w:val="20"/>
                <w:lang w:eastAsia="en-GB"/>
              </w:rPr>
            </w:pPr>
          </w:p>
        </w:tc>
        <w:tc>
          <w:tcPr>
            <w:tcW w:w="866" w:type="dxa"/>
            <w:shd w:val="clear" w:color="auto" w:fill="DEEAF6" w:themeFill="accent1" w:themeFillTint="33"/>
            <w:noWrap/>
            <w:vAlign w:val="center"/>
          </w:tcPr>
          <w:p w14:paraId="662B8767" w14:textId="77777777" w:rsidR="005E5471" w:rsidRPr="00F37FDE" w:rsidRDefault="005E5471" w:rsidP="00E568F8">
            <w:pPr>
              <w:spacing w:after="0" w:line="240" w:lineRule="auto"/>
              <w:jc w:val="center"/>
              <w:rPr>
                <w:rFonts w:ascii="Verdana" w:eastAsia="Times New Roman" w:hAnsi="Verdana" w:cs="Arial"/>
                <w:b/>
                <w:color w:val="000000"/>
                <w:sz w:val="20"/>
                <w:szCs w:val="20"/>
                <w:lang w:eastAsia="en-GB"/>
              </w:rPr>
            </w:pPr>
          </w:p>
        </w:tc>
        <w:tc>
          <w:tcPr>
            <w:tcW w:w="1490" w:type="dxa"/>
            <w:shd w:val="clear" w:color="auto" w:fill="DEEAF6" w:themeFill="accent1" w:themeFillTint="33"/>
            <w:noWrap/>
            <w:vAlign w:val="center"/>
          </w:tcPr>
          <w:p w14:paraId="2EF658E7" w14:textId="77777777" w:rsidR="005E5471" w:rsidRPr="00F37FDE" w:rsidRDefault="005E5471" w:rsidP="00E568F8">
            <w:pPr>
              <w:tabs>
                <w:tab w:val="left" w:pos="1574"/>
              </w:tabs>
              <w:spacing w:after="0" w:line="240" w:lineRule="auto"/>
              <w:jc w:val="center"/>
              <w:rPr>
                <w:rFonts w:ascii="Verdana" w:eastAsia="Times New Roman" w:hAnsi="Verdana" w:cs="Arial"/>
                <w:b/>
                <w:color w:val="000000"/>
                <w:sz w:val="20"/>
                <w:szCs w:val="20"/>
                <w:lang w:eastAsia="en-GB"/>
              </w:rPr>
            </w:pPr>
          </w:p>
        </w:tc>
        <w:tc>
          <w:tcPr>
            <w:tcW w:w="1217" w:type="dxa"/>
            <w:shd w:val="clear" w:color="auto" w:fill="DEEAF6" w:themeFill="accent1" w:themeFillTint="33"/>
            <w:noWrap/>
            <w:vAlign w:val="center"/>
            <w:hideMark/>
          </w:tcPr>
          <w:p w14:paraId="3BBD71A1" w14:textId="77777777" w:rsidR="005E5471" w:rsidRPr="00F37FDE" w:rsidRDefault="005E5471" w:rsidP="00E568F8">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w:t>
            </w:r>
          </w:p>
        </w:tc>
        <w:tc>
          <w:tcPr>
            <w:tcW w:w="1120" w:type="dxa"/>
            <w:shd w:val="clear" w:color="auto" w:fill="DEEAF6" w:themeFill="accent1" w:themeFillTint="33"/>
            <w:noWrap/>
            <w:vAlign w:val="center"/>
            <w:hideMark/>
          </w:tcPr>
          <w:p w14:paraId="6DBD13EA" w14:textId="77777777" w:rsidR="005E5471" w:rsidRPr="00F37FDE" w:rsidRDefault="005E5471" w:rsidP="00E568F8">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w:t>
            </w:r>
          </w:p>
        </w:tc>
      </w:tr>
      <w:tr w:rsidR="00AD1354" w:rsidRPr="00F37FDE" w14:paraId="1B6F8E99" w14:textId="77777777" w:rsidTr="00AD1354">
        <w:trPr>
          <w:jc w:val="center"/>
        </w:trPr>
        <w:tc>
          <w:tcPr>
            <w:tcW w:w="4292" w:type="dxa"/>
            <w:shd w:val="clear" w:color="auto" w:fill="auto"/>
            <w:noWrap/>
            <w:vAlign w:val="bottom"/>
          </w:tcPr>
          <w:p w14:paraId="0789CF9D" w14:textId="77777777" w:rsidR="00AD1354" w:rsidRPr="00F37FDE" w:rsidRDefault="00AD1354" w:rsidP="00AD1354">
            <w:pPr>
              <w:spacing w:after="0" w:line="240" w:lineRule="auto"/>
              <w:jc w:val="right"/>
              <w:rPr>
                <w:rFonts w:ascii="Verdana" w:hAnsi="Verdana" w:cs="Arial"/>
                <w:color w:val="000000"/>
                <w:sz w:val="20"/>
                <w:szCs w:val="20"/>
              </w:rPr>
            </w:pPr>
            <w:r w:rsidRPr="00F37FDE">
              <w:rPr>
                <w:rFonts w:ascii="Verdana" w:hAnsi="Verdana" w:cs="Arial"/>
                <w:color w:val="000000"/>
                <w:sz w:val="20"/>
                <w:szCs w:val="20"/>
              </w:rPr>
              <w:t>All occupied Households</w:t>
            </w:r>
          </w:p>
        </w:tc>
        <w:tc>
          <w:tcPr>
            <w:tcW w:w="982" w:type="dxa"/>
            <w:shd w:val="clear" w:color="auto" w:fill="auto"/>
            <w:noWrap/>
            <w:vAlign w:val="center"/>
          </w:tcPr>
          <w:p w14:paraId="4CEE620C" w14:textId="77777777" w:rsidR="00AD1354" w:rsidRPr="00AD1354" w:rsidRDefault="00AD1354" w:rsidP="00AD1354">
            <w:pPr>
              <w:tabs>
                <w:tab w:val="decimal" w:pos="576"/>
              </w:tabs>
              <w:spacing w:after="0" w:line="240" w:lineRule="auto"/>
              <w:rPr>
                <w:rFonts w:ascii="Verdana" w:hAnsi="Verdana" w:cs="Calibri"/>
                <w:color w:val="000000"/>
                <w:sz w:val="20"/>
                <w:szCs w:val="20"/>
              </w:rPr>
            </w:pPr>
            <w:r w:rsidRPr="00AD1354">
              <w:rPr>
                <w:rFonts w:ascii="Verdana" w:hAnsi="Verdana" w:cs="Calibri"/>
                <w:color w:val="000000"/>
                <w:sz w:val="20"/>
                <w:szCs w:val="20"/>
              </w:rPr>
              <w:t>650</w:t>
            </w:r>
          </w:p>
        </w:tc>
        <w:tc>
          <w:tcPr>
            <w:tcW w:w="866" w:type="dxa"/>
            <w:shd w:val="clear" w:color="auto" w:fill="auto"/>
            <w:noWrap/>
            <w:vAlign w:val="center"/>
          </w:tcPr>
          <w:p w14:paraId="7034400C" w14:textId="77777777" w:rsidR="00AD1354" w:rsidRPr="00AD1354" w:rsidRDefault="00AD1354" w:rsidP="00AD1354">
            <w:pPr>
              <w:tabs>
                <w:tab w:val="decimal" w:pos="397"/>
              </w:tabs>
              <w:spacing w:after="0" w:line="240" w:lineRule="auto"/>
              <w:rPr>
                <w:rFonts w:ascii="Verdana" w:hAnsi="Verdana" w:cs="Calibri"/>
                <w:color w:val="000000"/>
                <w:sz w:val="20"/>
                <w:szCs w:val="20"/>
              </w:rPr>
            </w:pPr>
            <w:r w:rsidRPr="00AD1354">
              <w:rPr>
                <w:rFonts w:ascii="Verdana" w:hAnsi="Verdana" w:cs="Calibri"/>
                <w:color w:val="000000"/>
                <w:sz w:val="20"/>
                <w:szCs w:val="20"/>
              </w:rPr>
              <w:t>100.0</w:t>
            </w:r>
          </w:p>
        </w:tc>
        <w:tc>
          <w:tcPr>
            <w:tcW w:w="1490" w:type="dxa"/>
            <w:shd w:val="clear" w:color="auto" w:fill="auto"/>
            <w:noWrap/>
            <w:vAlign w:val="center"/>
          </w:tcPr>
          <w:p w14:paraId="1F89F676" w14:textId="77777777" w:rsidR="00AD1354" w:rsidRPr="00AD1354" w:rsidRDefault="00AD1354" w:rsidP="00AD1354">
            <w:pPr>
              <w:tabs>
                <w:tab w:val="decimal" w:pos="696"/>
              </w:tabs>
              <w:spacing w:after="0" w:line="240" w:lineRule="auto"/>
              <w:rPr>
                <w:rFonts w:ascii="Verdana" w:hAnsi="Verdana" w:cs="Calibri"/>
                <w:color w:val="000000"/>
                <w:sz w:val="20"/>
                <w:szCs w:val="20"/>
              </w:rPr>
            </w:pPr>
            <w:r w:rsidRPr="00AD1354">
              <w:rPr>
                <w:rFonts w:ascii="Verdana" w:hAnsi="Verdana" w:cs="Calibri"/>
                <w:color w:val="000000"/>
                <w:sz w:val="20"/>
                <w:szCs w:val="20"/>
              </w:rPr>
              <w:t>100.0</w:t>
            </w:r>
          </w:p>
        </w:tc>
        <w:tc>
          <w:tcPr>
            <w:tcW w:w="1217" w:type="dxa"/>
            <w:shd w:val="clear" w:color="auto" w:fill="auto"/>
            <w:noWrap/>
            <w:vAlign w:val="center"/>
          </w:tcPr>
          <w:p w14:paraId="0AC0C824" w14:textId="77777777" w:rsidR="00AD1354" w:rsidRPr="00F37FDE" w:rsidRDefault="00AD1354" w:rsidP="00AD1354">
            <w:pPr>
              <w:tabs>
                <w:tab w:val="decimal" w:pos="478"/>
              </w:tabs>
              <w:spacing w:after="0" w:line="240" w:lineRule="auto"/>
              <w:rPr>
                <w:rFonts w:ascii="Verdana" w:hAnsi="Verdana" w:cs="Arial"/>
                <w:color w:val="000000"/>
                <w:sz w:val="20"/>
                <w:szCs w:val="20"/>
              </w:rPr>
            </w:pPr>
            <w:r w:rsidRPr="00F37FDE">
              <w:rPr>
                <w:rFonts w:ascii="Verdana" w:hAnsi="Verdana" w:cs="Arial"/>
                <w:color w:val="000000"/>
                <w:sz w:val="20"/>
                <w:szCs w:val="20"/>
              </w:rPr>
              <w:t>100.0</w:t>
            </w:r>
          </w:p>
        </w:tc>
        <w:tc>
          <w:tcPr>
            <w:tcW w:w="1120" w:type="dxa"/>
            <w:shd w:val="clear" w:color="auto" w:fill="auto"/>
            <w:noWrap/>
            <w:vAlign w:val="center"/>
          </w:tcPr>
          <w:p w14:paraId="20CAB431" w14:textId="77777777" w:rsidR="00AD1354" w:rsidRPr="00F37FDE" w:rsidRDefault="00AD1354" w:rsidP="00AD1354">
            <w:pPr>
              <w:tabs>
                <w:tab w:val="decimal" w:pos="463"/>
              </w:tabs>
              <w:spacing w:after="0" w:line="240" w:lineRule="auto"/>
              <w:rPr>
                <w:rFonts w:ascii="Verdana" w:hAnsi="Verdana" w:cs="Arial"/>
                <w:color w:val="000000"/>
                <w:sz w:val="20"/>
                <w:szCs w:val="20"/>
              </w:rPr>
            </w:pPr>
            <w:r w:rsidRPr="00F37FDE">
              <w:rPr>
                <w:rFonts w:ascii="Verdana" w:hAnsi="Verdana" w:cs="Arial"/>
                <w:color w:val="000000"/>
                <w:sz w:val="20"/>
                <w:szCs w:val="20"/>
              </w:rPr>
              <w:t>100.0</w:t>
            </w:r>
          </w:p>
        </w:tc>
      </w:tr>
      <w:tr w:rsidR="00AD1354" w:rsidRPr="00F37FDE" w14:paraId="0F83912A" w14:textId="77777777" w:rsidTr="00AD1354">
        <w:trPr>
          <w:jc w:val="center"/>
        </w:trPr>
        <w:tc>
          <w:tcPr>
            <w:tcW w:w="4292" w:type="dxa"/>
            <w:shd w:val="clear" w:color="auto" w:fill="auto"/>
            <w:noWrap/>
            <w:vAlign w:val="bottom"/>
          </w:tcPr>
          <w:p w14:paraId="21BE5269" w14:textId="77777777" w:rsidR="00AD1354" w:rsidRPr="00F37FDE" w:rsidRDefault="00AD1354" w:rsidP="00AD1354">
            <w:pPr>
              <w:spacing w:after="0" w:line="240" w:lineRule="auto"/>
              <w:jc w:val="right"/>
              <w:rPr>
                <w:rFonts w:ascii="Verdana" w:hAnsi="Verdana" w:cs="Arial"/>
                <w:color w:val="000000"/>
                <w:sz w:val="20"/>
                <w:szCs w:val="20"/>
              </w:rPr>
            </w:pPr>
            <w:r w:rsidRPr="00F37FDE">
              <w:rPr>
                <w:rFonts w:ascii="Verdana" w:hAnsi="Verdana" w:cs="Arial"/>
                <w:color w:val="000000"/>
                <w:sz w:val="20"/>
                <w:szCs w:val="20"/>
              </w:rPr>
              <w:t>Owned; Owned Outright</w:t>
            </w:r>
          </w:p>
        </w:tc>
        <w:tc>
          <w:tcPr>
            <w:tcW w:w="982" w:type="dxa"/>
            <w:shd w:val="clear" w:color="auto" w:fill="auto"/>
            <w:noWrap/>
            <w:vAlign w:val="center"/>
          </w:tcPr>
          <w:p w14:paraId="1D6C3CEB" w14:textId="77777777" w:rsidR="00AD1354" w:rsidRPr="00AD1354" w:rsidRDefault="00AD1354" w:rsidP="00AD1354">
            <w:pPr>
              <w:tabs>
                <w:tab w:val="decimal" w:pos="576"/>
              </w:tabs>
              <w:spacing w:after="0" w:line="240" w:lineRule="auto"/>
              <w:rPr>
                <w:rFonts w:ascii="Verdana" w:hAnsi="Verdana" w:cs="Calibri"/>
                <w:color w:val="000000"/>
                <w:sz w:val="20"/>
                <w:szCs w:val="20"/>
              </w:rPr>
            </w:pPr>
            <w:r w:rsidRPr="00AD1354">
              <w:rPr>
                <w:rFonts w:ascii="Verdana" w:hAnsi="Verdana" w:cs="Calibri"/>
                <w:color w:val="000000"/>
                <w:sz w:val="20"/>
                <w:szCs w:val="20"/>
              </w:rPr>
              <w:t>326</w:t>
            </w:r>
          </w:p>
        </w:tc>
        <w:tc>
          <w:tcPr>
            <w:tcW w:w="866" w:type="dxa"/>
            <w:shd w:val="clear" w:color="auto" w:fill="auto"/>
            <w:noWrap/>
            <w:vAlign w:val="center"/>
          </w:tcPr>
          <w:p w14:paraId="5C69D4BE" w14:textId="77777777" w:rsidR="00AD1354" w:rsidRPr="00AD1354" w:rsidRDefault="00AD1354" w:rsidP="00AD1354">
            <w:pPr>
              <w:tabs>
                <w:tab w:val="decimal" w:pos="397"/>
              </w:tabs>
              <w:spacing w:after="0" w:line="240" w:lineRule="auto"/>
              <w:rPr>
                <w:rFonts w:ascii="Verdana" w:hAnsi="Verdana" w:cs="Calibri"/>
                <w:color w:val="000000"/>
                <w:sz w:val="20"/>
                <w:szCs w:val="20"/>
              </w:rPr>
            </w:pPr>
            <w:r w:rsidRPr="00AD1354">
              <w:rPr>
                <w:rFonts w:ascii="Verdana" w:hAnsi="Verdana" w:cs="Calibri"/>
                <w:color w:val="000000"/>
                <w:sz w:val="20"/>
                <w:szCs w:val="20"/>
              </w:rPr>
              <w:t>50.2</w:t>
            </w:r>
          </w:p>
        </w:tc>
        <w:tc>
          <w:tcPr>
            <w:tcW w:w="1490" w:type="dxa"/>
            <w:shd w:val="clear" w:color="auto" w:fill="auto"/>
            <w:noWrap/>
            <w:vAlign w:val="center"/>
          </w:tcPr>
          <w:p w14:paraId="631360E7" w14:textId="77777777" w:rsidR="00AD1354" w:rsidRPr="00AD1354" w:rsidRDefault="00AD1354" w:rsidP="00AD1354">
            <w:pPr>
              <w:tabs>
                <w:tab w:val="decimal" w:pos="696"/>
              </w:tabs>
              <w:spacing w:after="0" w:line="240" w:lineRule="auto"/>
              <w:rPr>
                <w:rFonts w:ascii="Verdana" w:hAnsi="Verdana" w:cs="Calibri"/>
                <w:color w:val="000000"/>
                <w:sz w:val="20"/>
                <w:szCs w:val="20"/>
              </w:rPr>
            </w:pPr>
            <w:r w:rsidRPr="00AD1354">
              <w:rPr>
                <w:rFonts w:ascii="Verdana" w:hAnsi="Verdana" w:cs="Calibri"/>
                <w:color w:val="000000"/>
                <w:sz w:val="20"/>
                <w:szCs w:val="20"/>
              </w:rPr>
              <w:t>34.7</w:t>
            </w:r>
          </w:p>
        </w:tc>
        <w:tc>
          <w:tcPr>
            <w:tcW w:w="1217" w:type="dxa"/>
            <w:shd w:val="clear" w:color="auto" w:fill="auto"/>
            <w:noWrap/>
            <w:vAlign w:val="center"/>
          </w:tcPr>
          <w:p w14:paraId="79795CA0" w14:textId="77777777" w:rsidR="00AD1354" w:rsidRPr="00F37FDE" w:rsidRDefault="00AD1354" w:rsidP="00AD1354">
            <w:pPr>
              <w:tabs>
                <w:tab w:val="decimal" w:pos="478"/>
              </w:tabs>
              <w:spacing w:after="0" w:line="240" w:lineRule="auto"/>
              <w:rPr>
                <w:rFonts w:ascii="Verdana" w:hAnsi="Verdana" w:cs="Arial"/>
                <w:color w:val="000000"/>
                <w:sz w:val="20"/>
                <w:szCs w:val="20"/>
              </w:rPr>
            </w:pPr>
            <w:r w:rsidRPr="00F37FDE">
              <w:rPr>
                <w:rFonts w:ascii="Verdana" w:hAnsi="Verdana" w:cs="Arial"/>
                <w:color w:val="000000"/>
                <w:sz w:val="20"/>
                <w:szCs w:val="20"/>
              </w:rPr>
              <w:t>32.8</w:t>
            </w:r>
          </w:p>
        </w:tc>
        <w:tc>
          <w:tcPr>
            <w:tcW w:w="1120" w:type="dxa"/>
            <w:shd w:val="clear" w:color="auto" w:fill="auto"/>
            <w:noWrap/>
            <w:vAlign w:val="center"/>
          </w:tcPr>
          <w:p w14:paraId="3FE356BE" w14:textId="77777777" w:rsidR="00AD1354" w:rsidRPr="00F37FDE" w:rsidRDefault="00AD1354" w:rsidP="00AD1354">
            <w:pPr>
              <w:tabs>
                <w:tab w:val="decimal" w:pos="463"/>
              </w:tabs>
              <w:spacing w:after="0" w:line="240" w:lineRule="auto"/>
              <w:rPr>
                <w:rFonts w:ascii="Verdana" w:hAnsi="Verdana" w:cs="Arial"/>
                <w:color w:val="000000"/>
                <w:sz w:val="20"/>
                <w:szCs w:val="20"/>
              </w:rPr>
            </w:pPr>
            <w:r w:rsidRPr="00F37FDE">
              <w:rPr>
                <w:rFonts w:ascii="Verdana" w:hAnsi="Verdana" w:cs="Arial"/>
                <w:color w:val="000000"/>
                <w:sz w:val="20"/>
                <w:szCs w:val="20"/>
              </w:rPr>
              <w:t>30.6</w:t>
            </w:r>
          </w:p>
        </w:tc>
      </w:tr>
      <w:tr w:rsidR="00AD1354" w:rsidRPr="00F37FDE" w14:paraId="392DF63A" w14:textId="77777777" w:rsidTr="00AD1354">
        <w:trPr>
          <w:jc w:val="center"/>
        </w:trPr>
        <w:tc>
          <w:tcPr>
            <w:tcW w:w="4292" w:type="dxa"/>
            <w:shd w:val="clear" w:color="auto" w:fill="auto"/>
            <w:noWrap/>
            <w:vAlign w:val="bottom"/>
          </w:tcPr>
          <w:p w14:paraId="4564BF71" w14:textId="77777777" w:rsidR="00AD1354" w:rsidRPr="00F37FDE" w:rsidRDefault="00AD1354" w:rsidP="00AD1354">
            <w:pPr>
              <w:spacing w:after="0" w:line="240" w:lineRule="auto"/>
              <w:jc w:val="right"/>
              <w:rPr>
                <w:rFonts w:ascii="Verdana" w:hAnsi="Verdana" w:cs="Arial"/>
                <w:color w:val="000000"/>
                <w:sz w:val="20"/>
                <w:szCs w:val="20"/>
              </w:rPr>
            </w:pPr>
            <w:r w:rsidRPr="00F37FDE">
              <w:rPr>
                <w:rFonts w:ascii="Verdana" w:hAnsi="Verdana" w:cs="Arial"/>
                <w:color w:val="000000"/>
                <w:sz w:val="20"/>
                <w:szCs w:val="20"/>
              </w:rPr>
              <w:t>Owned; Owned with a Mortgage or Loan</w:t>
            </w:r>
          </w:p>
        </w:tc>
        <w:tc>
          <w:tcPr>
            <w:tcW w:w="982" w:type="dxa"/>
            <w:shd w:val="clear" w:color="auto" w:fill="auto"/>
            <w:noWrap/>
            <w:vAlign w:val="center"/>
          </w:tcPr>
          <w:p w14:paraId="45111AF5" w14:textId="77777777" w:rsidR="00AD1354" w:rsidRPr="00AD1354" w:rsidRDefault="00AD1354" w:rsidP="00AD1354">
            <w:pPr>
              <w:tabs>
                <w:tab w:val="decimal" w:pos="576"/>
              </w:tabs>
              <w:spacing w:after="0" w:line="240" w:lineRule="auto"/>
              <w:rPr>
                <w:rFonts w:ascii="Verdana" w:hAnsi="Verdana" w:cs="Calibri"/>
                <w:color w:val="000000"/>
                <w:sz w:val="20"/>
                <w:szCs w:val="20"/>
              </w:rPr>
            </w:pPr>
            <w:r w:rsidRPr="00AD1354">
              <w:rPr>
                <w:rFonts w:ascii="Verdana" w:hAnsi="Verdana" w:cs="Calibri"/>
                <w:color w:val="000000"/>
                <w:sz w:val="20"/>
                <w:szCs w:val="20"/>
              </w:rPr>
              <w:t>202</w:t>
            </w:r>
          </w:p>
        </w:tc>
        <w:tc>
          <w:tcPr>
            <w:tcW w:w="866" w:type="dxa"/>
            <w:shd w:val="clear" w:color="auto" w:fill="auto"/>
            <w:noWrap/>
            <w:vAlign w:val="center"/>
          </w:tcPr>
          <w:p w14:paraId="3C43F8BA" w14:textId="77777777" w:rsidR="00AD1354" w:rsidRPr="00AD1354" w:rsidRDefault="00AD1354" w:rsidP="00AD1354">
            <w:pPr>
              <w:tabs>
                <w:tab w:val="decimal" w:pos="397"/>
              </w:tabs>
              <w:spacing w:after="0" w:line="240" w:lineRule="auto"/>
              <w:rPr>
                <w:rFonts w:ascii="Verdana" w:hAnsi="Verdana" w:cs="Calibri"/>
                <w:color w:val="000000"/>
                <w:sz w:val="20"/>
                <w:szCs w:val="20"/>
              </w:rPr>
            </w:pPr>
            <w:r w:rsidRPr="00AD1354">
              <w:rPr>
                <w:rFonts w:ascii="Verdana" w:hAnsi="Verdana" w:cs="Calibri"/>
                <w:color w:val="000000"/>
                <w:sz w:val="20"/>
                <w:szCs w:val="20"/>
              </w:rPr>
              <w:t>31.1</w:t>
            </w:r>
          </w:p>
        </w:tc>
        <w:tc>
          <w:tcPr>
            <w:tcW w:w="1490" w:type="dxa"/>
            <w:shd w:val="clear" w:color="auto" w:fill="auto"/>
            <w:noWrap/>
            <w:vAlign w:val="center"/>
          </w:tcPr>
          <w:p w14:paraId="16A9DB9A" w14:textId="77777777" w:rsidR="00AD1354" w:rsidRPr="00AD1354" w:rsidRDefault="00AD1354" w:rsidP="00AD1354">
            <w:pPr>
              <w:tabs>
                <w:tab w:val="decimal" w:pos="696"/>
              </w:tabs>
              <w:spacing w:after="0" w:line="240" w:lineRule="auto"/>
              <w:rPr>
                <w:rFonts w:ascii="Verdana" w:hAnsi="Verdana" w:cs="Calibri"/>
                <w:color w:val="000000"/>
                <w:sz w:val="20"/>
                <w:szCs w:val="20"/>
              </w:rPr>
            </w:pPr>
            <w:r w:rsidRPr="00AD1354">
              <w:rPr>
                <w:rFonts w:ascii="Verdana" w:hAnsi="Verdana" w:cs="Calibri"/>
                <w:color w:val="000000"/>
                <w:sz w:val="20"/>
                <w:szCs w:val="20"/>
              </w:rPr>
              <w:t>37.8</w:t>
            </w:r>
          </w:p>
        </w:tc>
        <w:tc>
          <w:tcPr>
            <w:tcW w:w="1217" w:type="dxa"/>
            <w:shd w:val="clear" w:color="auto" w:fill="auto"/>
            <w:noWrap/>
            <w:vAlign w:val="center"/>
          </w:tcPr>
          <w:p w14:paraId="0D5A693B" w14:textId="77777777" w:rsidR="00AD1354" w:rsidRPr="00F37FDE" w:rsidRDefault="00AD1354" w:rsidP="00AD1354">
            <w:pPr>
              <w:tabs>
                <w:tab w:val="decimal" w:pos="478"/>
              </w:tabs>
              <w:spacing w:after="0" w:line="240" w:lineRule="auto"/>
              <w:rPr>
                <w:rFonts w:ascii="Verdana" w:hAnsi="Verdana" w:cs="Arial"/>
                <w:color w:val="000000"/>
                <w:sz w:val="20"/>
                <w:szCs w:val="20"/>
              </w:rPr>
            </w:pPr>
            <w:r w:rsidRPr="00F37FDE">
              <w:rPr>
                <w:rFonts w:ascii="Verdana" w:hAnsi="Verdana" w:cs="Arial"/>
                <w:color w:val="000000"/>
                <w:sz w:val="20"/>
                <w:szCs w:val="20"/>
              </w:rPr>
              <w:t>34.5</w:t>
            </w:r>
          </w:p>
        </w:tc>
        <w:tc>
          <w:tcPr>
            <w:tcW w:w="1120" w:type="dxa"/>
            <w:shd w:val="clear" w:color="auto" w:fill="auto"/>
            <w:noWrap/>
            <w:vAlign w:val="center"/>
          </w:tcPr>
          <w:p w14:paraId="6083BE72" w14:textId="77777777" w:rsidR="00AD1354" w:rsidRPr="00F37FDE" w:rsidRDefault="00AD1354" w:rsidP="00AD1354">
            <w:pPr>
              <w:tabs>
                <w:tab w:val="decimal" w:pos="463"/>
              </w:tabs>
              <w:spacing w:after="0" w:line="240" w:lineRule="auto"/>
              <w:rPr>
                <w:rFonts w:ascii="Verdana" w:hAnsi="Verdana" w:cs="Arial"/>
                <w:color w:val="000000"/>
                <w:sz w:val="20"/>
                <w:szCs w:val="20"/>
              </w:rPr>
            </w:pPr>
            <w:r w:rsidRPr="00F37FDE">
              <w:rPr>
                <w:rFonts w:ascii="Verdana" w:hAnsi="Verdana" w:cs="Arial"/>
                <w:color w:val="000000"/>
                <w:sz w:val="20"/>
                <w:szCs w:val="20"/>
              </w:rPr>
              <w:t>32.8</w:t>
            </w:r>
          </w:p>
        </w:tc>
      </w:tr>
      <w:tr w:rsidR="00AD1354" w:rsidRPr="00F37FDE" w14:paraId="5121362D" w14:textId="77777777" w:rsidTr="00AD1354">
        <w:trPr>
          <w:jc w:val="center"/>
        </w:trPr>
        <w:tc>
          <w:tcPr>
            <w:tcW w:w="4292" w:type="dxa"/>
            <w:shd w:val="clear" w:color="auto" w:fill="auto"/>
            <w:noWrap/>
            <w:vAlign w:val="bottom"/>
          </w:tcPr>
          <w:p w14:paraId="334BEE9B" w14:textId="77777777" w:rsidR="00AD1354" w:rsidRPr="00F37FDE" w:rsidRDefault="00AD1354" w:rsidP="00AD1354">
            <w:pPr>
              <w:spacing w:after="0" w:line="240" w:lineRule="auto"/>
              <w:jc w:val="right"/>
              <w:rPr>
                <w:rFonts w:ascii="Verdana" w:hAnsi="Verdana" w:cs="Arial"/>
                <w:color w:val="000000"/>
                <w:sz w:val="20"/>
                <w:szCs w:val="20"/>
              </w:rPr>
            </w:pPr>
            <w:r w:rsidRPr="00F37FDE">
              <w:rPr>
                <w:rFonts w:ascii="Verdana" w:hAnsi="Verdana" w:cs="Arial"/>
                <w:color w:val="000000"/>
                <w:sz w:val="20"/>
                <w:szCs w:val="20"/>
              </w:rPr>
              <w:t xml:space="preserve">Shared Ownership </w:t>
            </w:r>
            <w:r w:rsidRPr="00EA76E2">
              <w:rPr>
                <w:rFonts w:ascii="Verdana" w:hAnsi="Verdana" w:cs="Arial"/>
                <w:color w:val="000000"/>
                <w:sz w:val="16"/>
                <w:szCs w:val="20"/>
              </w:rPr>
              <w:t>(Part Owned/Part Rented)</w:t>
            </w:r>
          </w:p>
        </w:tc>
        <w:tc>
          <w:tcPr>
            <w:tcW w:w="982" w:type="dxa"/>
            <w:shd w:val="clear" w:color="auto" w:fill="auto"/>
            <w:noWrap/>
            <w:vAlign w:val="center"/>
          </w:tcPr>
          <w:p w14:paraId="030D7A7E" w14:textId="77777777" w:rsidR="00AD1354" w:rsidRPr="00AD1354" w:rsidRDefault="00AD1354" w:rsidP="00AD1354">
            <w:pPr>
              <w:tabs>
                <w:tab w:val="decimal" w:pos="576"/>
              </w:tabs>
              <w:spacing w:after="0" w:line="240" w:lineRule="auto"/>
              <w:rPr>
                <w:rFonts w:ascii="Verdana" w:hAnsi="Verdana" w:cs="Calibri"/>
                <w:color w:val="000000"/>
                <w:sz w:val="20"/>
                <w:szCs w:val="20"/>
              </w:rPr>
            </w:pPr>
            <w:r w:rsidRPr="00AD1354">
              <w:rPr>
                <w:rFonts w:ascii="Verdana" w:hAnsi="Verdana" w:cs="Calibri"/>
                <w:color w:val="000000"/>
                <w:sz w:val="20"/>
                <w:szCs w:val="20"/>
              </w:rPr>
              <w:t>-</w:t>
            </w:r>
          </w:p>
        </w:tc>
        <w:tc>
          <w:tcPr>
            <w:tcW w:w="866" w:type="dxa"/>
            <w:shd w:val="clear" w:color="auto" w:fill="auto"/>
            <w:noWrap/>
            <w:vAlign w:val="center"/>
          </w:tcPr>
          <w:p w14:paraId="3720E082" w14:textId="77777777" w:rsidR="00AD1354" w:rsidRPr="00AD1354" w:rsidRDefault="00AD1354" w:rsidP="00AD1354">
            <w:pPr>
              <w:tabs>
                <w:tab w:val="decimal" w:pos="397"/>
              </w:tabs>
              <w:spacing w:after="0" w:line="240" w:lineRule="auto"/>
              <w:rPr>
                <w:rFonts w:ascii="Verdana" w:hAnsi="Verdana" w:cs="Calibri"/>
                <w:color w:val="000000"/>
                <w:sz w:val="20"/>
                <w:szCs w:val="20"/>
              </w:rPr>
            </w:pPr>
            <w:r w:rsidRPr="00AD1354">
              <w:rPr>
                <w:rFonts w:ascii="Verdana" w:hAnsi="Verdana" w:cs="Calibri"/>
                <w:color w:val="000000"/>
                <w:sz w:val="20"/>
                <w:szCs w:val="20"/>
              </w:rPr>
              <w:t>0.0</w:t>
            </w:r>
          </w:p>
        </w:tc>
        <w:tc>
          <w:tcPr>
            <w:tcW w:w="1490" w:type="dxa"/>
            <w:shd w:val="clear" w:color="auto" w:fill="auto"/>
            <w:noWrap/>
            <w:vAlign w:val="center"/>
          </w:tcPr>
          <w:p w14:paraId="03519F91" w14:textId="77777777" w:rsidR="00AD1354" w:rsidRPr="00AD1354" w:rsidRDefault="00AD1354" w:rsidP="00AD1354">
            <w:pPr>
              <w:tabs>
                <w:tab w:val="decimal" w:pos="696"/>
              </w:tabs>
              <w:spacing w:after="0" w:line="240" w:lineRule="auto"/>
              <w:rPr>
                <w:rFonts w:ascii="Verdana" w:hAnsi="Verdana" w:cs="Calibri"/>
                <w:color w:val="000000"/>
                <w:sz w:val="20"/>
                <w:szCs w:val="20"/>
              </w:rPr>
            </w:pPr>
            <w:r w:rsidRPr="00AD1354">
              <w:rPr>
                <w:rFonts w:ascii="Verdana" w:hAnsi="Verdana" w:cs="Calibri"/>
                <w:color w:val="000000"/>
                <w:sz w:val="20"/>
                <w:szCs w:val="20"/>
              </w:rPr>
              <w:t>0.8</w:t>
            </w:r>
          </w:p>
        </w:tc>
        <w:tc>
          <w:tcPr>
            <w:tcW w:w="1217" w:type="dxa"/>
            <w:shd w:val="clear" w:color="auto" w:fill="auto"/>
            <w:noWrap/>
            <w:vAlign w:val="center"/>
          </w:tcPr>
          <w:p w14:paraId="6D633AF7" w14:textId="77777777" w:rsidR="00AD1354" w:rsidRPr="00F37FDE" w:rsidRDefault="00AD1354" w:rsidP="00AD1354">
            <w:pPr>
              <w:tabs>
                <w:tab w:val="decimal" w:pos="478"/>
              </w:tabs>
              <w:spacing w:after="0" w:line="240" w:lineRule="auto"/>
              <w:rPr>
                <w:rFonts w:ascii="Verdana" w:hAnsi="Verdana" w:cs="Arial"/>
                <w:color w:val="000000"/>
                <w:sz w:val="20"/>
                <w:szCs w:val="20"/>
              </w:rPr>
            </w:pPr>
            <w:r w:rsidRPr="00F37FDE">
              <w:rPr>
                <w:rFonts w:ascii="Verdana" w:hAnsi="Verdana" w:cs="Arial"/>
                <w:color w:val="000000"/>
                <w:sz w:val="20"/>
                <w:szCs w:val="20"/>
              </w:rPr>
              <w:t>0.7</w:t>
            </w:r>
          </w:p>
        </w:tc>
        <w:tc>
          <w:tcPr>
            <w:tcW w:w="1120" w:type="dxa"/>
            <w:shd w:val="clear" w:color="auto" w:fill="auto"/>
            <w:noWrap/>
            <w:vAlign w:val="center"/>
          </w:tcPr>
          <w:p w14:paraId="12DA05E7" w14:textId="77777777" w:rsidR="00AD1354" w:rsidRPr="00F37FDE" w:rsidRDefault="00AD1354" w:rsidP="00AD1354">
            <w:pPr>
              <w:tabs>
                <w:tab w:val="decimal" w:pos="463"/>
              </w:tabs>
              <w:spacing w:after="0" w:line="240" w:lineRule="auto"/>
              <w:rPr>
                <w:rFonts w:ascii="Verdana" w:hAnsi="Verdana" w:cs="Arial"/>
                <w:color w:val="000000"/>
                <w:sz w:val="20"/>
                <w:szCs w:val="20"/>
              </w:rPr>
            </w:pPr>
            <w:r w:rsidRPr="00F37FDE">
              <w:rPr>
                <w:rFonts w:ascii="Verdana" w:hAnsi="Verdana" w:cs="Arial"/>
                <w:color w:val="000000"/>
                <w:sz w:val="20"/>
                <w:szCs w:val="20"/>
              </w:rPr>
              <w:t>0.8</w:t>
            </w:r>
          </w:p>
        </w:tc>
      </w:tr>
      <w:tr w:rsidR="00AD1354" w:rsidRPr="00F37FDE" w14:paraId="77768C82" w14:textId="77777777" w:rsidTr="00AD1354">
        <w:trPr>
          <w:jc w:val="center"/>
        </w:trPr>
        <w:tc>
          <w:tcPr>
            <w:tcW w:w="4292" w:type="dxa"/>
            <w:shd w:val="clear" w:color="auto" w:fill="auto"/>
            <w:noWrap/>
            <w:vAlign w:val="bottom"/>
          </w:tcPr>
          <w:p w14:paraId="02282C3A" w14:textId="77777777" w:rsidR="00AD1354" w:rsidRPr="00F37FDE" w:rsidRDefault="00AD1354" w:rsidP="00AD1354">
            <w:pPr>
              <w:spacing w:after="0" w:line="240" w:lineRule="auto"/>
              <w:jc w:val="right"/>
              <w:rPr>
                <w:rFonts w:ascii="Verdana" w:hAnsi="Verdana" w:cs="Arial"/>
                <w:color w:val="000000"/>
                <w:sz w:val="20"/>
                <w:szCs w:val="20"/>
              </w:rPr>
            </w:pPr>
            <w:r w:rsidRPr="00F37FDE">
              <w:rPr>
                <w:rFonts w:ascii="Verdana" w:hAnsi="Verdana" w:cs="Arial"/>
                <w:color w:val="000000"/>
                <w:sz w:val="20"/>
                <w:szCs w:val="20"/>
              </w:rPr>
              <w:t>Social Rented; Rented from Council (Local Authority)</w:t>
            </w:r>
          </w:p>
        </w:tc>
        <w:tc>
          <w:tcPr>
            <w:tcW w:w="982" w:type="dxa"/>
            <w:shd w:val="clear" w:color="auto" w:fill="auto"/>
            <w:noWrap/>
            <w:vAlign w:val="center"/>
          </w:tcPr>
          <w:p w14:paraId="5A35524F" w14:textId="77777777" w:rsidR="00AD1354" w:rsidRPr="00AD1354" w:rsidRDefault="00AD1354" w:rsidP="00AD1354">
            <w:pPr>
              <w:tabs>
                <w:tab w:val="decimal" w:pos="576"/>
              </w:tabs>
              <w:spacing w:after="0" w:line="240" w:lineRule="auto"/>
              <w:rPr>
                <w:rFonts w:ascii="Verdana" w:hAnsi="Verdana" w:cs="Calibri"/>
                <w:color w:val="000000"/>
                <w:sz w:val="20"/>
                <w:szCs w:val="20"/>
              </w:rPr>
            </w:pPr>
            <w:r w:rsidRPr="00AD1354">
              <w:rPr>
                <w:rFonts w:ascii="Verdana" w:hAnsi="Verdana" w:cs="Calibri"/>
                <w:color w:val="000000"/>
                <w:sz w:val="20"/>
                <w:szCs w:val="20"/>
              </w:rPr>
              <w:t>80</w:t>
            </w:r>
          </w:p>
        </w:tc>
        <w:tc>
          <w:tcPr>
            <w:tcW w:w="866" w:type="dxa"/>
            <w:shd w:val="clear" w:color="auto" w:fill="auto"/>
            <w:noWrap/>
            <w:vAlign w:val="center"/>
          </w:tcPr>
          <w:p w14:paraId="4AA3851B" w14:textId="77777777" w:rsidR="00AD1354" w:rsidRPr="00AD1354" w:rsidRDefault="00AD1354" w:rsidP="00AD1354">
            <w:pPr>
              <w:tabs>
                <w:tab w:val="decimal" w:pos="397"/>
              </w:tabs>
              <w:spacing w:after="0" w:line="240" w:lineRule="auto"/>
              <w:rPr>
                <w:rFonts w:ascii="Verdana" w:hAnsi="Verdana" w:cs="Calibri"/>
                <w:color w:val="000000"/>
                <w:sz w:val="20"/>
                <w:szCs w:val="20"/>
              </w:rPr>
            </w:pPr>
            <w:r w:rsidRPr="00AD1354">
              <w:rPr>
                <w:rFonts w:ascii="Verdana" w:hAnsi="Verdana" w:cs="Calibri"/>
                <w:color w:val="000000"/>
                <w:sz w:val="20"/>
                <w:szCs w:val="20"/>
              </w:rPr>
              <w:t>12.3</w:t>
            </w:r>
          </w:p>
        </w:tc>
        <w:tc>
          <w:tcPr>
            <w:tcW w:w="1490" w:type="dxa"/>
            <w:shd w:val="clear" w:color="auto" w:fill="auto"/>
            <w:noWrap/>
            <w:vAlign w:val="center"/>
          </w:tcPr>
          <w:p w14:paraId="7E363692" w14:textId="77777777" w:rsidR="00AD1354" w:rsidRPr="00AD1354" w:rsidRDefault="00AD1354" w:rsidP="00AD1354">
            <w:pPr>
              <w:tabs>
                <w:tab w:val="decimal" w:pos="696"/>
              </w:tabs>
              <w:spacing w:after="0" w:line="240" w:lineRule="auto"/>
              <w:rPr>
                <w:rFonts w:ascii="Verdana" w:hAnsi="Verdana" w:cs="Calibri"/>
                <w:color w:val="000000"/>
                <w:sz w:val="20"/>
                <w:szCs w:val="20"/>
              </w:rPr>
            </w:pPr>
            <w:r w:rsidRPr="00AD1354">
              <w:rPr>
                <w:rFonts w:ascii="Verdana" w:hAnsi="Verdana" w:cs="Calibri"/>
                <w:color w:val="000000"/>
                <w:sz w:val="20"/>
                <w:szCs w:val="20"/>
              </w:rPr>
              <w:t>10.7</w:t>
            </w:r>
          </w:p>
        </w:tc>
        <w:tc>
          <w:tcPr>
            <w:tcW w:w="1217" w:type="dxa"/>
            <w:shd w:val="clear" w:color="auto" w:fill="auto"/>
            <w:noWrap/>
            <w:vAlign w:val="center"/>
          </w:tcPr>
          <w:p w14:paraId="00D8701C" w14:textId="77777777" w:rsidR="00AD1354" w:rsidRPr="00F37FDE" w:rsidRDefault="00AD1354" w:rsidP="00AD1354">
            <w:pPr>
              <w:tabs>
                <w:tab w:val="decimal" w:pos="478"/>
              </w:tabs>
              <w:spacing w:after="0" w:line="240" w:lineRule="auto"/>
              <w:rPr>
                <w:rFonts w:ascii="Verdana" w:hAnsi="Verdana" w:cs="Arial"/>
                <w:color w:val="000000"/>
                <w:sz w:val="20"/>
                <w:szCs w:val="20"/>
              </w:rPr>
            </w:pPr>
            <w:r w:rsidRPr="00F37FDE">
              <w:rPr>
                <w:rFonts w:ascii="Verdana" w:hAnsi="Verdana" w:cs="Arial"/>
                <w:color w:val="000000"/>
                <w:sz w:val="20"/>
                <w:szCs w:val="20"/>
              </w:rPr>
              <w:t>10.1</w:t>
            </w:r>
          </w:p>
        </w:tc>
        <w:tc>
          <w:tcPr>
            <w:tcW w:w="1120" w:type="dxa"/>
            <w:shd w:val="clear" w:color="auto" w:fill="auto"/>
            <w:noWrap/>
            <w:vAlign w:val="center"/>
          </w:tcPr>
          <w:p w14:paraId="0A519966" w14:textId="77777777" w:rsidR="00AD1354" w:rsidRPr="00F37FDE" w:rsidRDefault="00AD1354" w:rsidP="00AD1354">
            <w:pPr>
              <w:tabs>
                <w:tab w:val="decimal" w:pos="463"/>
              </w:tabs>
              <w:spacing w:after="0" w:line="240" w:lineRule="auto"/>
              <w:rPr>
                <w:rFonts w:ascii="Verdana" w:hAnsi="Verdana" w:cs="Arial"/>
                <w:color w:val="000000"/>
                <w:sz w:val="20"/>
                <w:szCs w:val="20"/>
              </w:rPr>
            </w:pPr>
            <w:r w:rsidRPr="00F37FDE">
              <w:rPr>
                <w:rFonts w:ascii="Verdana" w:hAnsi="Verdana" w:cs="Arial"/>
                <w:color w:val="000000"/>
                <w:sz w:val="20"/>
                <w:szCs w:val="20"/>
              </w:rPr>
              <w:t>9.4</w:t>
            </w:r>
          </w:p>
        </w:tc>
      </w:tr>
      <w:tr w:rsidR="00AD1354" w:rsidRPr="00F37FDE" w14:paraId="5E036FC8" w14:textId="77777777" w:rsidTr="00AD1354">
        <w:trPr>
          <w:jc w:val="center"/>
        </w:trPr>
        <w:tc>
          <w:tcPr>
            <w:tcW w:w="4292" w:type="dxa"/>
            <w:shd w:val="clear" w:color="auto" w:fill="auto"/>
            <w:noWrap/>
            <w:vAlign w:val="bottom"/>
          </w:tcPr>
          <w:p w14:paraId="19F9543F" w14:textId="77777777" w:rsidR="00AD1354" w:rsidRPr="00F37FDE" w:rsidRDefault="00AD1354" w:rsidP="00AD1354">
            <w:pPr>
              <w:spacing w:after="0" w:line="240" w:lineRule="auto"/>
              <w:jc w:val="right"/>
              <w:rPr>
                <w:rFonts w:ascii="Verdana" w:hAnsi="Verdana" w:cs="Arial"/>
                <w:color w:val="000000"/>
                <w:sz w:val="20"/>
                <w:szCs w:val="20"/>
              </w:rPr>
            </w:pPr>
            <w:r w:rsidRPr="00F37FDE">
              <w:rPr>
                <w:rFonts w:ascii="Verdana" w:hAnsi="Verdana" w:cs="Arial"/>
                <w:color w:val="000000"/>
                <w:sz w:val="20"/>
                <w:szCs w:val="20"/>
              </w:rPr>
              <w:t>Social Rented; Other</w:t>
            </w:r>
          </w:p>
        </w:tc>
        <w:tc>
          <w:tcPr>
            <w:tcW w:w="982" w:type="dxa"/>
            <w:shd w:val="clear" w:color="auto" w:fill="auto"/>
            <w:noWrap/>
            <w:vAlign w:val="center"/>
          </w:tcPr>
          <w:p w14:paraId="0D21BE3F" w14:textId="77777777" w:rsidR="00AD1354" w:rsidRPr="00AD1354" w:rsidRDefault="00AD1354" w:rsidP="00AD1354">
            <w:pPr>
              <w:tabs>
                <w:tab w:val="decimal" w:pos="576"/>
              </w:tabs>
              <w:spacing w:after="0" w:line="240" w:lineRule="auto"/>
              <w:rPr>
                <w:rFonts w:ascii="Verdana" w:hAnsi="Verdana" w:cs="Calibri"/>
                <w:color w:val="000000"/>
                <w:sz w:val="20"/>
                <w:szCs w:val="20"/>
              </w:rPr>
            </w:pPr>
            <w:r w:rsidRPr="00AD1354">
              <w:rPr>
                <w:rFonts w:ascii="Verdana" w:hAnsi="Verdana" w:cs="Calibri"/>
                <w:color w:val="000000"/>
                <w:sz w:val="20"/>
                <w:szCs w:val="20"/>
              </w:rPr>
              <w:t>4</w:t>
            </w:r>
          </w:p>
        </w:tc>
        <w:tc>
          <w:tcPr>
            <w:tcW w:w="866" w:type="dxa"/>
            <w:shd w:val="clear" w:color="auto" w:fill="auto"/>
            <w:noWrap/>
            <w:vAlign w:val="center"/>
          </w:tcPr>
          <w:p w14:paraId="628C23B1" w14:textId="77777777" w:rsidR="00AD1354" w:rsidRPr="00AD1354" w:rsidRDefault="00AD1354" w:rsidP="00AD1354">
            <w:pPr>
              <w:tabs>
                <w:tab w:val="decimal" w:pos="397"/>
              </w:tabs>
              <w:spacing w:after="0" w:line="240" w:lineRule="auto"/>
              <w:rPr>
                <w:rFonts w:ascii="Verdana" w:hAnsi="Verdana" w:cs="Calibri"/>
                <w:color w:val="000000"/>
                <w:sz w:val="20"/>
                <w:szCs w:val="20"/>
              </w:rPr>
            </w:pPr>
            <w:r w:rsidRPr="00AD1354">
              <w:rPr>
                <w:rFonts w:ascii="Verdana" w:hAnsi="Verdana" w:cs="Calibri"/>
                <w:color w:val="000000"/>
                <w:sz w:val="20"/>
                <w:szCs w:val="20"/>
              </w:rPr>
              <w:t>0.6</w:t>
            </w:r>
          </w:p>
        </w:tc>
        <w:tc>
          <w:tcPr>
            <w:tcW w:w="1490" w:type="dxa"/>
            <w:shd w:val="clear" w:color="auto" w:fill="auto"/>
            <w:noWrap/>
            <w:vAlign w:val="center"/>
          </w:tcPr>
          <w:p w14:paraId="35422EF8" w14:textId="77777777" w:rsidR="00AD1354" w:rsidRPr="00AD1354" w:rsidRDefault="00AD1354" w:rsidP="00AD1354">
            <w:pPr>
              <w:tabs>
                <w:tab w:val="decimal" w:pos="696"/>
              </w:tabs>
              <w:spacing w:after="0" w:line="240" w:lineRule="auto"/>
              <w:rPr>
                <w:rFonts w:ascii="Verdana" w:hAnsi="Verdana" w:cs="Calibri"/>
                <w:color w:val="000000"/>
                <w:sz w:val="20"/>
                <w:szCs w:val="20"/>
              </w:rPr>
            </w:pPr>
            <w:r w:rsidRPr="00AD1354">
              <w:rPr>
                <w:rFonts w:ascii="Verdana" w:hAnsi="Verdana" w:cs="Calibri"/>
                <w:color w:val="000000"/>
                <w:sz w:val="20"/>
                <w:szCs w:val="20"/>
              </w:rPr>
              <w:t>3.6</w:t>
            </w:r>
          </w:p>
        </w:tc>
        <w:tc>
          <w:tcPr>
            <w:tcW w:w="1217" w:type="dxa"/>
            <w:shd w:val="clear" w:color="auto" w:fill="auto"/>
            <w:noWrap/>
            <w:vAlign w:val="center"/>
          </w:tcPr>
          <w:p w14:paraId="4710A8A0" w14:textId="77777777" w:rsidR="00AD1354" w:rsidRPr="00F37FDE" w:rsidRDefault="00AD1354" w:rsidP="00AD1354">
            <w:pPr>
              <w:tabs>
                <w:tab w:val="decimal" w:pos="478"/>
              </w:tabs>
              <w:spacing w:after="0" w:line="240" w:lineRule="auto"/>
              <w:rPr>
                <w:rFonts w:ascii="Verdana" w:hAnsi="Verdana" w:cs="Arial"/>
                <w:color w:val="000000"/>
                <w:sz w:val="20"/>
                <w:szCs w:val="20"/>
              </w:rPr>
            </w:pPr>
            <w:r w:rsidRPr="00F37FDE">
              <w:rPr>
                <w:rFonts w:ascii="Verdana" w:hAnsi="Verdana" w:cs="Arial"/>
                <w:color w:val="000000"/>
                <w:sz w:val="20"/>
                <w:szCs w:val="20"/>
              </w:rPr>
              <w:t>5.7</w:t>
            </w:r>
          </w:p>
        </w:tc>
        <w:tc>
          <w:tcPr>
            <w:tcW w:w="1120" w:type="dxa"/>
            <w:shd w:val="clear" w:color="auto" w:fill="auto"/>
            <w:noWrap/>
            <w:vAlign w:val="center"/>
          </w:tcPr>
          <w:p w14:paraId="6521D55E" w14:textId="77777777" w:rsidR="00AD1354" w:rsidRPr="00F37FDE" w:rsidRDefault="00AD1354" w:rsidP="00AD1354">
            <w:pPr>
              <w:tabs>
                <w:tab w:val="decimal" w:pos="463"/>
              </w:tabs>
              <w:spacing w:after="0" w:line="240" w:lineRule="auto"/>
              <w:rPr>
                <w:rFonts w:ascii="Verdana" w:hAnsi="Verdana" w:cs="Arial"/>
                <w:color w:val="000000"/>
                <w:sz w:val="20"/>
                <w:szCs w:val="20"/>
              </w:rPr>
            </w:pPr>
            <w:r w:rsidRPr="00F37FDE">
              <w:rPr>
                <w:rFonts w:ascii="Verdana" w:hAnsi="Verdana" w:cs="Arial"/>
                <w:color w:val="000000"/>
                <w:sz w:val="20"/>
                <w:szCs w:val="20"/>
              </w:rPr>
              <w:t>8.3</w:t>
            </w:r>
          </w:p>
        </w:tc>
      </w:tr>
      <w:tr w:rsidR="00AD1354" w:rsidRPr="00F37FDE" w14:paraId="5A4F80FD" w14:textId="77777777" w:rsidTr="00AD1354">
        <w:trPr>
          <w:jc w:val="center"/>
        </w:trPr>
        <w:tc>
          <w:tcPr>
            <w:tcW w:w="4292" w:type="dxa"/>
            <w:shd w:val="clear" w:color="auto" w:fill="auto"/>
            <w:noWrap/>
            <w:vAlign w:val="bottom"/>
          </w:tcPr>
          <w:p w14:paraId="44E4366E" w14:textId="77777777" w:rsidR="00AD1354" w:rsidRPr="00F37FDE" w:rsidRDefault="00AD1354" w:rsidP="00AD1354">
            <w:pPr>
              <w:spacing w:after="0" w:line="240" w:lineRule="auto"/>
              <w:jc w:val="right"/>
              <w:rPr>
                <w:rFonts w:ascii="Verdana" w:hAnsi="Verdana" w:cs="Arial"/>
                <w:color w:val="000000"/>
                <w:sz w:val="20"/>
                <w:szCs w:val="20"/>
              </w:rPr>
            </w:pPr>
            <w:r w:rsidRPr="00F37FDE">
              <w:rPr>
                <w:rFonts w:ascii="Verdana" w:hAnsi="Verdana" w:cs="Arial"/>
                <w:color w:val="000000"/>
                <w:sz w:val="20"/>
                <w:szCs w:val="20"/>
              </w:rPr>
              <w:t>Private Rented; Private Landlord or Letting Agency</w:t>
            </w:r>
          </w:p>
        </w:tc>
        <w:tc>
          <w:tcPr>
            <w:tcW w:w="982" w:type="dxa"/>
            <w:shd w:val="clear" w:color="auto" w:fill="auto"/>
            <w:noWrap/>
            <w:vAlign w:val="center"/>
          </w:tcPr>
          <w:p w14:paraId="0208ED96" w14:textId="77777777" w:rsidR="00AD1354" w:rsidRPr="00AD1354" w:rsidRDefault="00AD1354" w:rsidP="00AD1354">
            <w:pPr>
              <w:tabs>
                <w:tab w:val="decimal" w:pos="576"/>
              </w:tabs>
              <w:spacing w:after="0" w:line="240" w:lineRule="auto"/>
              <w:rPr>
                <w:rFonts w:ascii="Verdana" w:hAnsi="Verdana" w:cs="Calibri"/>
                <w:color w:val="000000"/>
                <w:sz w:val="20"/>
                <w:szCs w:val="20"/>
              </w:rPr>
            </w:pPr>
            <w:r w:rsidRPr="00AD1354">
              <w:rPr>
                <w:rFonts w:ascii="Verdana" w:hAnsi="Verdana" w:cs="Calibri"/>
                <w:color w:val="000000"/>
                <w:sz w:val="20"/>
                <w:szCs w:val="20"/>
              </w:rPr>
              <w:t>23</w:t>
            </w:r>
          </w:p>
        </w:tc>
        <w:tc>
          <w:tcPr>
            <w:tcW w:w="866" w:type="dxa"/>
            <w:shd w:val="clear" w:color="auto" w:fill="auto"/>
            <w:noWrap/>
            <w:vAlign w:val="center"/>
          </w:tcPr>
          <w:p w14:paraId="2B8F3BE1" w14:textId="77777777" w:rsidR="00AD1354" w:rsidRPr="00AD1354" w:rsidRDefault="00AD1354" w:rsidP="00AD1354">
            <w:pPr>
              <w:tabs>
                <w:tab w:val="decimal" w:pos="397"/>
              </w:tabs>
              <w:spacing w:after="0" w:line="240" w:lineRule="auto"/>
              <w:rPr>
                <w:rFonts w:ascii="Verdana" w:hAnsi="Verdana" w:cs="Calibri"/>
                <w:color w:val="000000"/>
                <w:sz w:val="20"/>
                <w:szCs w:val="20"/>
              </w:rPr>
            </w:pPr>
            <w:r w:rsidRPr="00AD1354">
              <w:rPr>
                <w:rFonts w:ascii="Verdana" w:hAnsi="Verdana" w:cs="Calibri"/>
                <w:color w:val="000000"/>
                <w:sz w:val="20"/>
                <w:szCs w:val="20"/>
              </w:rPr>
              <w:t>3.5</w:t>
            </w:r>
          </w:p>
        </w:tc>
        <w:tc>
          <w:tcPr>
            <w:tcW w:w="1490" w:type="dxa"/>
            <w:shd w:val="clear" w:color="auto" w:fill="auto"/>
            <w:noWrap/>
            <w:vAlign w:val="center"/>
          </w:tcPr>
          <w:p w14:paraId="30F8FCE9" w14:textId="77777777" w:rsidR="00AD1354" w:rsidRPr="00AD1354" w:rsidRDefault="00AD1354" w:rsidP="00AD1354">
            <w:pPr>
              <w:tabs>
                <w:tab w:val="decimal" w:pos="696"/>
              </w:tabs>
              <w:spacing w:after="0" w:line="240" w:lineRule="auto"/>
              <w:rPr>
                <w:rFonts w:ascii="Verdana" w:hAnsi="Verdana" w:cs="Calibri"/>
                <w:color w:val="000000"/>
                <w:sz w:val="20"/>
                <w:szCs w:val="20"/>
              </w:rPr>
            </w:pPr>
            <w:r w:rsidRPr="00AD1354">
              <w:rPr>
                <w:rFonts w:ascii="Verdana" w:hAnsi="Verdana" w:cs="Calibri"/>
                <w:color w:val="000000"/>
                <w:sz w:val="20"/>
                <w:szCs w:val="20"/>
              </w:rPr>
              <w:t>10.2</w:t>
            </w:r>
          </w:p>
        </w:tc>
        <w:tc>
          <w:tcPr>
            <w:tcW w:w="1217" w:type="dxa"/>
            <w:shd w:val="clear" w:color="auto" w:fill="auto"/>
            <w:noWrap/>
            <w:vAlign w:val="center"/>
          </w:tcPr>
          <w:p w14:paraId="5B0B3CC7" w14:textId="77777777" w:rsidR="00AD1354" w:rsidRPr="00F37FDE" w:rsidRDefault="00AD1354" w:rsidP="00AD1354">
            <w:pPr>
              <w:tabs>
                <w:tab w:val="decimal" w:pos="478"/>
              </w:tabs>
              <w:spacing w:after="0" w:line="240" w:lineRule="auto"/>
              <w:rPr>
                <w:rFonts w:ascii="Verdana" w:hAnsi="Verdana" w:cs="Arial"/>
                <w:color w:val="000000"/>
                <w:sz w:val="20"/>
                <w:szCs w:val="20"/>
              </w:rPr>
            </w:pPr>
            <w:r w:rsidRPr="00F37FDE">
              <w:rPr>
                <w:rFonts w:ascii="Verdana" w:hAnsi="Verdana" w:cs="Arial"/>
                <w:color w:val="000000"/>
                <w:sz w:val="20"/>
                <w:szCs w:val="20"/>
              </w:rPr>
              <w:t>13.6</w:t>
            </w:r>
          </w:p>
        </w:tc>
        <w:tc>
          <w:tcPr>
            <w:tcW w:w="1120" w:type="dxa"/>
            <w:shd w:val="clear" w:color="auto" w:fill="auto"/>
            <w:noWrap/>
            <w:vAlign w:val="center"/>
          </w:tcPr>
          <w:p w14:paraId="592778BB" w14:textId="77777777" w:rsidR="00AD1354" w:rsidRPr="00F37FDE" w:rsidRDefault="00AD1354" w:rsidP="00AD1354">
            <w:pPr>
              <w:tabs>
                <w:tab w:val="decimal" w:pos="463"/>
              </w:tabs>
              <w:spacing w:after="0" w:line="240" w:lineRule="auto"/>
              <w:rPr>
                <w:rFonts w:ascii="Verdana" w:hAnsi="Verdana" w:cs="Arial"/>
                <w:color w:val="000000"/>
                <w:sz w:val="20"/>
                <w:szCs w:val="20"/>
              </w:rPr>
            </w:pPr>
            <w:r w:rsidRPr="00F37FDE">
              <w:rPr>
                <w:rFonts w:ascii="Verdana" w:hAnsi="Verdana" w:cs="Arial"/>
                <w:color w:val="000000"/>
                <w:sz w:val="20"/>
                <w:szCs w:val="20"/>
              </w:rPr>
              <w:t>15.4</w:t>
            </w:r>
          </w:p>
        </w:tc>
      </w:tr>
      <w:tr w:rsidR="00AD1354" w:rsidRPr="00F37FDE" w14:paraId="71F6100F" w14:textId="77777777" w:rsidTr="00AD1354">
        <w:trPr>
          <w:jc w:val="center"/>
        </w:trPr>
        <w:tc>
          <w:tcPr>
            <w:tcW w:w="4292" w:type="dxa"/>
            <w:shd w:val="clear" w:color="auto" w:fill="auto"/>
            <w:noWrap/>
            <w:vAlign w:val="bottom"/>
          </w:tcPr>
          <w:p w14:paraId="371448B2" w14:textId="77777777" w:rsidR="00AD1354" w:rsidRPr="00F37FDE" w:rsidRDefault="00AD1354" w:rsidP="00AD1354">
            <w:pPr>
              <w:spacing w:after="0" w:line="240" w:lineRule="auto"/>
              <w:jc w:val="right"/>
              <w:rPr>
                <w:rFonts w:ascii="Verdana" w:hAnsi="Verdana" w:cs="Arial"/>
                <w:color w:val="000000"/>
                <w:sz w:val="20"/>
                <w:szCs w:val="20"/>
              </w:rPr>
            </w:pPr>
            <w:r w:rsidRPr="00F37FDE">
              <w:rPr>
                <w:rFonts w:ascii="Verdana" w:hAnsi="Verdana" w:cs="Arial"/>
                <w:color w:val="000000"/>
                <w:sz w:val="20"/>
                <w:szCs w:val="20"/>
              </w:rPr>
              <w:t>Private Rented; Other</w:t>
            </w:r>
          </w:p>
        </w:tc>
        <w:tc>
          <w:tcPr>
            <w:tcW w:w="982" w:type="dxa"/>
            <w:shd w:val="clear" w:color="auto" w:fill="auto"/>
            <w:noWrap/>
            <w:vAlign w:val="center"/>
          </w:tcPr>
          <w:p w14:paraId="2035A5E3" w14:textId="77777777" w:rsidR="00AD1354" w:rsidRPr="00AD1354" w:rsidRDefault="00AD1354" w:rsidP="00AD1354">
            <w:pPr>
              <w:tabs>
                <w:tab w:val="decimal" w:pos="576"/>
              </w:tabs>
              <w:spacing w:after="0" w:line="240" w:lineRule="auto"/>
              <w:rPr>
                <w:rFonts w:ascii="Verdana" w:hAnsi="Verdana" w:cs="Calibri"/>
                <w:color w:val="000000"/>
                <w:sz w:val="20"/>
                <w:szCs w:val="20"/>
              </w:rPr>
            </w:pPr>
            <w:r w:rsidRPr="00AD1354">
              <w:rPr>
                <w:rFonts w:ascii="Verdana" w:hAnsi="Verdana" w:cs="Calibri"/>
                <w:color w:val="000000"/>
                <w:sz w:val="20"/>
                <w:szCs w:val="20"/>
              </w:rPr>
              <w:t>4</w:t>
            </w:r>
          </w:p>
        </w:tc>
        <w:tc>
          <w:tcPr>
            <w:tcW w:w="866" w:type="dxa"/>
            <w:shd w:val="clear" w:color="auto" w:fill="auto"/>
            <w:noWrap/>
            <w:vAlign w:val="center"/>
          </w:tcPr>
          <w:p w14:paraId="4529CB68" w14:textId="77777777" w:rsidR="00AD1354" w:rsidRPr="00AD1354" w:rsidRDefault="00AD1354" w:rsidP="00AD1354">
            <w:pPr>
              <w:tabs>
                <w:tab w:val="decimal" w:pos="397"/>
              </w:tabs>
              <w:spacing w:after="0" w:line="240" w:lineRule="auto"/>
              <w:rPr>
                <w:rFonts w:ascii="Verdana" w:hAnsi="Verdana" w:cs="Calibri"/>
                <w:color w:val="000000"/>
                <w:sz w:val="20"/>
                <w:szCs w:val="20"/>
              </w:rPr>
            </w:pPr>
            <w:r w:rsidRPr="00AD1354">
              <w:rPr>
                <w:rFonts w:ascii="Verdana" w:hAnsi="Verdana" w:cs="Calibri"/>
                <w:color w:val="000000"/>
                <w:sz w:val="20"/>
                <w:szCs w:val="20"/>
              </w:rPr>
              <w:t>0.6</w:t>
            </w:r>
          </w:p>
        </w:tc>
        <w:tc>
          <w:tcPr>
            <w:tcW w:w="1490" w:type="dxa"/>
            <w:shd w:val="clear" w:color="auto" w:fill="auto"/>
            <w:noWrap/>
            <w:vAlign w:val="center"/>
          </w:tcPr>
          <w:p w14:paraId="6F6D3BBB" w14:textId="77777777" w:rsidR="00AD1354" w:rsidRPr="00AD1354" w:rsidRDefault="00AD1354" w:rsidP="00AD1354">
            <w:pPr>
              <w:tabs>
                <w:tab w:val="decimal" w:pos="696"/>
              </w:tabs>
              <w:spacing w:after="0" w:line="240" w:lineRule="auto"/>
              <w:rPr>
                <w:rFonts w:ascii="Verdana" w:hAnsi="Verdana" w:cs="Calibri"/>
                <w:color w:val="000000"/>
                <w:sz w:val="20"/>
                <w:szCs w:val="20"/>
              </w:rPr>
            </w:pPr>
            <w:r w:rsidRPr="00AD1354">
              <w:rPr>
                <w:rFonts w:ascii="Verdana" w:hAnsi="Verdana" w:cs="Calibri"/>
                <w:color w:val="000000"/>
                <w:sz w:val="20"/>
                <w:szCs w:val="20"/>
              </w:rPr>
              <w:t>1.1</w:t>
            </w:r>
          </w:p>
        </w:tc>
        <w:tc>
          <w:tcPr>
            <w:tcW w:w="1217" w:type="dxa"/>
            <w:shd w:val="clear" w:color="auto" w:fill="auto"/>
            <w:noWrap/>
            <w:vAlign w:val="center"/>
          </w:tcPr>
          <w:p w14:paraId="4C9964CD" w14:textId="77777777" w:rsidR="00AD1354" w:rsidRPr="00F37FDE" w:rsidRDefault="00AD1354" w:rsidP="00AD1354">
            <w:pPr>
              <w:tabs>
                <w:tab w:val="decimal" w:pos="478"/>
              </w:tabs>
              <w:spacing w:after="0" w:line="240" w:lineRule="auto"/>
              <w:rPr>
                <w:rFonts w:ascii="Verdana" w:hAnsi="Verdana" w:cs="Arial"/>
                <w:color w:val="000000"/>
                <w:sz w:val="20"/>
                <w:szCs w:val="20"/>
              </w:rPr>
            </w:pPr>
            <w:r w:rsidRPr="00F37FDE">
              <w:rPr>
                <w:rFonts w:ascii="Verdana" w:hAnsi="Verdana" w:cs="Arial"/>
                <w:color w:val="000000"/>
                <w:sz w:val="20"/>
                <w:szCs w:val="20"/>
              </w:rPr>
              <w:t>1.3</w:t>
            </w:r>
          </w:p>
        </w:tc>
        <w:tc>
          <w:tcPr>
            <w:tcW w:w="1120" w:type="dxa"/>
            <w:shd w:val="clear" w:color="auto" w:fill="auto"/>
            <w:noWrap/>
            <w:vAlign w:val="center"/>
          </w:tcPr>
          <w:p w14:paraId="33BCEDA8" w14:textId="77777777" w:rsidR="00AD1354" w:rsidRPr="00F37FDE" w:rsidRDefault="00AD1354" w:rsidP="00AD1354">
            <w:pPr>
              <w:tabs>
                <w:tab w:val="decimal" w:pos="463"/>
              </w:tabs>
              <w:spacing w:after="0" w:line="240" w:lineRule="auto"/>
              <w:rPr>
                <w:rFonts w:ascii="Verdana" w:hAnsi="Verdana" w:cs="Arial"/>
                <w:color w:val="000000"/>
                <w:sz w:val="20"/>
                <w:szCs w:val="20"/>
              </w:rPr>
            </w:pPr>
            <w:r w:rsidRPr="00F37FDE">
              <w:rPr>
                <w:rFonts w:ascii="Verdana" w:hAnsi="Verdana" w:cs="Arial"/>
                <w:color w:val="000000"/>
                <w:sz w:val="20"/>
                <w:szCs w:val="20"/>
              </w:rPr>
              <w:t>1.4</w:t>
            </w:r>
          </w:p>
        </w:tc>
      </w:tr>
      <w:tr w:rsidR="00AD1354" w:rsidRPr="00F37FDE" w14:paraId="37F157D5" w14:textId="77777777" w:rsidTr="00AD1354">
        <w:trPr>
          <w:jc w:val="center"/>
        </w:trPr>
        <w:tc>
          <w:tcPr>
            <w:tcW w:w="4292" w:type="dxa"/>
            <w:shd w:val="clear" w:color="auto" w:fill="auto"/>
            <w:noWrap/>
            <w:vAlign w:val="bottom"/>
          </w:tcPr>
          <w:p w14:paraId="07D2FAFA" w14:textId="77777777" w:rsidR="00AD1354" w:rsidRPr="00F37FDE" w:rsidRDefault="00AD1354" w:rsidP="00AD1354">
            <w:pPr>
              <w:spacing w:after="0" w:line="240" w:lineRule="auto"/>
              <w:jc w:val="right"/>
              <w:rPr>
                <w:rFonts w:ascii="Verdana" w:hAnsi="Verdana" w:cs="Arial"/>
                <w:color w:val="000000"/>
                <w:sz w:val="20"/>
                <w:szCs w:val="20"/>
              </w:rPr>
            </w:pPr>
            <w:r w:rsidRPr="00F37FDE">
              <w:rPr>
                <w:rFonts w:ascii="Verdana" w:hAnsi="Verdana" w:cs="Arial"/>
                <w:color w:val="000000"/>
                <w:sz w:val="20"/>
                <w:szCs w:val="20"/>
              </w:rPr>
              <w:t>Living Rent Free</w:t>
            </w:r>
          </w:p>
        </w:tc>
        <w:tc>
          <w:tcPr>
            <w:tcW w:w="982" w:type="dxa"/>
            <w:shd w:val="clear" w:color="auto" w:fill="auto"/>
            <w:noWrap/>
            <w:vAlign w:val="center"/>
          </w:tcPr>
          <w:p w14:paraId="43F2EF1C" w14:textId="77777777" w:rsidR="00AD1354" w:rsidRPr="00AD1354" w:rsidRDefault="00AD1354" w:rsidP="00AD1354">
            <w:pPr>
              <w:tabs>
                <w:tab w:val="decimal" w:pos="576"/>
              </w:tabs>
              <w:spacing w:after="0" w:line="240" w:lineRule="auto"/>
              <w:rPr>
                <w:rFonts w:ascii="Verdana" w:hAnsi="Verdana" w:cs="Calibri"/>
                <w:color w:val="000000"/>
                <w:sz w:val="20"/>
                <w:szCs w:val="20"/>
              </w:rPr>
            </w:pPr>
            <w:r w:rsidRPr="00AD1354">
              <w:rPr>
                <w:rFonts w:ascii="Verdana" w:hAnsi="Verdana" w:cs="Calibri"/>
                <w:color w:val="000000"/>
                <w:sz w:val="20"/>
                <w:szCs w:val="20"/>
              </w:rPr>
              <w:t>11</w:t>
            </w:r>
          </w:p>
        </w:tc>
        <w:tc>
          <w:tcPr>
            <w:tcW w:w="866" w:type="dxa"/>
            <w:shd w:val="clear" w:color="auto" w:fill="auto"/>
            <w:noWrap/>
            <w:vAlign w:val="center"/>
          </w:tcPr>
          <w:p w14:paraId="59CBD80B" w14:textId="77777777" w:rsidR="00AD1354" w:rsidRPr="00AD1354" w:rsidRDefault="00AD1354" w:rsidP="00AD1354">
            <w:pPr>
              <w:tabs>
                <w:tab w:val="decimal" w:pos="397"/>
              </w:tabs>
              <w:spacing w:after="0" w:line="240" w:lineRule="auto"/>
              <w:rPr>
                <w:rFonts w:ascii="Verdana" w:hAnsi="Verdana" w:cs="Calibri"/>
                <w:color w:val="000000"/>
                <w:sz w:val="20"/>
                <w:szCs w:val="20"/>
              </w:rPr>
            </w:pPr>
            <w:r w:rsidRPr="00AD1354">
              <w:rPr>
                <w:rFonts w:ascii="Verdana" w:hAnsi="Verdana" w:cs="Calibri"/>
                <w:color w:val="000000"/>
                <w:sz w:val="20"/>
                <w:szCs w:val="20"/>
              </w:rPr>
              <w:t>1.7</w:t>
            </w:r>
          </w:p>
        </w:tc>
        <w:tc>
          <w:tcPr>
            <w:tcW w:w="1490" w:type="dxa"/>
            <w:shd w:val="clear" w:color="auto" w:fill="auto"/>
            <w:noWrap/>
            <w:vAlign w:val="center"/>
          </w:tcPr>
          <w:p w14:paraId="7C2BF3C9" w14:textId="77777777" w:rsidR="00AD1354" w:rsidRPr="00AD1354" w:rsidRDefault="00AD1354" w:rsidP="00AD1354">
            <w:pPr>
              <w:tabs>
                <w:tab w:val="decimal" w:pos="696"/>
              </w:tabs>
              <w:spacing w:after="0" w:line="240" w:lineRule="auto"/>
              <w:rPr>
                <w:rFonts w:ascii="Verdana" w:hAnsi="Verdana" w:cs="Calibri"/>
                <w:color w:val="000000"/>
                <w:sz w:val="20"/>
                <w:szCs w:val="20"/>
              </w:rPr>
            </w:pPr>
            <w:r w:rsidRPr="00AD1354">
              <w:rPr>
                <w:rFonts w:ascii="Verdana" w:hAnsi="Verdana" w:cs="Calibri"/>
                <w:color w:val="000000"/>
                <w:sz w:val="20"/>
                <w:szCs w:val="20"/>
              </w:rPr>
              <w:t>1.2</w:t>
            </w:r>
          </w:p>
        </w:tc>
        <w:tc>
          <w:tcPr>
            <w:tcW w:w="1217" w:type="dxa"/>
            <w:shd w:val="clear" w:color="auto" w:fill="auto"/>
            <w:noWrap/>
            <w:vAlign w:val="center"/>
          </w:tcPr>
          <w:p w14:paraId="3D346566" w14:textId="77777777" w:rsidR="00AD1354" w:rsidRPr="00F37FDE" w:rsidRDefault="00AD1354" w:rsidP="00AD1354">
            <w:pPr>
              <w:tabs>
                <w:tab w:val="decimal" w:pos="478"/>
              </w:tabs>
              <w:spacing w:after="0" w:line="240" w:lineRule="auto"/>
              <w:rPr>
                <w:rFonts w:ascii="Verdana" w:hAnsi="Verdana" w:cs="Arial"/>
                <w:color w:val="000000"/>
                <w:sz w:val="20"/>
                <w:szCs w:val="20"/>
              </w:rPr>
            </w:pPr>
            <w:r w:rsidRPr="00F37FDE">
              <w:rPr>
                <w:rFonts w:ascii="Verdana" w:hAnsi="Verdana" w:cs="Arial"/>
                <w:color w:val="000000"/>
                <w:sz w:val="20"/>
                <w:szCs w:val="20"/>
              </w:rPr>
              <w:t>1.3</w:t>
            </w:r>
          </w:p>
        </w:tc>
        <w:tc>
          <w:tcPr>
            <w:tcW w:w="1120" w:type="dxa"/>
            <w:shd w:val="clear" w:color="auto" w:fill="auto"/>
            <w:noWrap/>
            <w:vAlign w:val="center"/>
          </w:tcPr>
          <w:p w14:paraId="1E22CBCE" w14:textId="77777777" w:rsidR="00AD1354" w:rsidRPr="00F37FDE" w:rsidRDefault="00AD1354" w:rsidP="00AD1354">
            <w:pPr>
              <w:tabs>
                <w:tab w:val="decimal" w:pos="463"/>
              </w:tabs>
              <w:spacing w:after="0" w:line="240" w:lineRule="auto"/>
              <w:rPr>
                <w:rFonts w:ascii="Verdana" w:hAnsi="Verdana" w:cs="Arial"/>
                <w:color w:val="000000"/>
                <w:sz w:val="20"/>
                <w:szCs w:val="20"/>
              </w:rPr>
            </w:pPr>
            <w:r w:rsidRPr="00F37FDE">
              <w:rPr>
                <w:rFonts w:ascii="Verdana" w:hAnsi="Verdana" w:cs="Arial"/>
                <w:color w:val="000000"/>
                <w:sz w:val="20"/>
                <w:szCs w:val="20"/>
              </w:rPr>
              <w:t>1.3</w:t>
            </w:r>
          </w:p>
        </w:tc>
      </w:tr>
    </w:tbl>
    <w:p w14:paraId="40C3507C" w14:textId="77777777" w:rsidR="0059692D" w:rsidRPr="00F37FDE" w:rsidRDefault="005E5471" w:rsidP="00E568F8">
      <w:pPr>
        <w:pStyle w:val="NoSpacing"/>
        <w:jc w:val="center"/>
        <w:rPr>
          <w:rFonts w:ascii="Verdana" w:hAnsi="Verdana" w:cs="Arial"/>
          <w:i/>
          <w:sz w:val="20"/>
          <w:szCs w:val="24"/>
        </w:rPr>
      </w:pPr>
      <w:r w:rsidRPr="00F37FDE">
        <w:rPr>
          <w:rFonts w:ascii="Verdana" w:hAnsi="Verdana" w:cs="Arial"/>
          <w:i/>
          <w:sz w:val="20"/>
          <w:szCs w:val="24"/>
        </w:rPr>
        <w:t>Source:</w:t>
      </w:r>
      <w:r w:rsidR="003D1B6E" w:rsidRPr="00F37FDE">
        <w:rPr>
          <w:rFonts w:ascii="Verdana" w:hAnsi="Verdana" w:cs="Arial"/>
          <w:i/>
          <w:sz w:val="20"/>
          <w:szCs w:val="24"/>
        </w:rPr>
        <w:t xml:space="preserve"> </w:t>
      </w:r>
      <w:r w:rsidRPr="00F37FDE">
        <w:rPr>
          <w:rFonts w:ascii="Verdana" w:hAnsi="Verdana" w:cs="Arial"/>
          <w:i/>
          <w:sz w:val="20"/>
          <w:szCs w:val="24"/>
        </w:rPr>
        <w:t>Census</w:t>
      </w:r>
      <w:r w:rsidR="003D1B6E" w:rsidRPr="00F37FDE">
        <w:rPr>
          <w:rFonts w:ascii="Verdana" w:hAnsi="Verdana" w:cs="Arial"/>
          <w:i/>
          <w:sz w:val="20"/>
          <w:szCs w:val="24"/>
        </w:rPr>
        <w:t xml:space="preserve"> </w:t>
      </w:r>
      <w:r w:rsidRPr="00F37FDE">
        <w:rPr>
          <w:rFonts w:ascii="Verdana" w:hAnsi="Verdana" w:cs="Arial"/>
          <w:i/>
          <w:sz w:val="20"/>
          <w:szCs w:val="24"/>
        </w:rPr>
        <w:t>2011,</w:t>
      </w:r>
      <w:r w:rsidR="003D1B6E" w:rsidRPr="00F37FDE">
        <w:rPr>
          <w:rFonts w:ascii="Verdana" w:hAnsi="Verdana" w:cs="Arial"/>
          <w:i/>
          <w:sz w:val="20"/>
          <w:szCs w:val="24"/>
        </w:rPr>
        <w:t xml:space="preserve"> </w:t>
      </w:r>
      <w:r w:rsidR="00B13FA7" w:rsidRPr="00F37FDE">
        <w:rPr>
          <w:rFonts w:ascii="Verdana" w:hAnsi="Verdana" w:cs="Arial"/>
          <w:i/>
          <w:sz w:val="20"/>
          <w:szCs w:val="24"/>
        </w:rPr>
        <w:t>KS402EW</w:t>
      </w:r>
    </w:p>
    <w:p w14:paraId="1FF3712D" w14:textId="77777777" w:rsidR="00B83681" w:rsidRDefault="00B83681" w:rsidP="008B5A87">
      <w:pPr>
        <w:pStyle w:val="NoSpacing"/>
        <w:jc w:val="both"/>
        <w:rPr>
          <w:rFonts w:ascii="Verdana" w:hAnsi="Verdana" w:cs="Arial"/>
          <w:b/>
          <w:sz w:val="16"/>
          <w:szCs w:val="24"/>
        </w:rPr>
      </w:pPr>
    </w:p>
    <w:p w14:paraId="594993CD" w14:textId="77777777" w:rsidR="00606928" w:rsidRPr="00EA76E2" w:rsidRDefault="00606928" w:rsidP="008B5A87">
      <w:pPr>
        <w:pStyle w:val="NoSpacing"/>
        <w:jc w:val="both"/>
        <w:rPr>
          <w:rFonts w:ascii="Verdana" w:hAnsi="Verdana" w:cs="Arial"/>
          <w:b/>
          <w:sz w:val="16"/>
          <w:szCs w:val="24"/>
        </w:rPr>
      </w:pPr>
    </w:p>
    <w:p w14:paraId="76B8121C" w14:textId="77777777" w:rsidR="00265157" w:rsidRPr="00A779D7" w:rsidRDefault="00265157" w:rsidP="008B5A87">
      <w:pPr>
        <w:pStyle w:val="NoSpacing"/>
        <w:jc w:val="both"/>
        <w:rPr>
          <w:rFonts w:ascii="Verdana" w:hAnsi="Verdana" w:cs="Arial"/>
          <w:b/>
          <w:sz w:val="24"/>
          <w:szCs w:val="24"/>
        </w:rPr>
      </w:pPr>
      <w:r w:rsidRPr="00A779D7">
        <w:rPr>
          <w:rFonts w:ascii="Verdana" w:hAnsi="Verdana" w:cs="Arial"/>
          <w:b/>
          <w:sz w:val="24"/>
          <w:szCs w:val="24"/>
        </w:rPr>
        <w:t>Accommodation</w:t>
      </w:r>
      <w:r w:rsidR="003D1B6E" w:rsidRPr="00A779D7">
        <w:rPr>
          <w:rFonts w:ascii="Verdana" w:hAnsi="Verdana" w:cs="Arial"/>
          <w:b/>
          <w:sz w:val="24"/>
          <w:szCs w:val="24"/>
        </w:rPr>
        <w:t xml:space="preserve"> </w:t>
      </w:r>
      <w:r w:rsidRPr="00A779D7">
        <w:rPr>
          <w:rFonts w:ascii="Verdana" w:hAnsi="Verdana" w:cs="Arial"/>
          <w:b/>
          <w:sz w:val="24"/>
          <w:szCs w:val="24"/>
        </w:rPr>
        <w:t>Type</w:t>
      </w:r>
    </w:p>
    <w:p w14:paraId="0E9BB8EE" w14:textId="77777777" w:rsidR="00E042F0" w:rsidRDefault="00E042F0" w:rsidP="00E042F0">
      <w:pPr>
        <w:pStyle w:val="NoSpacing"/>
        <w:spacing w:before="120"/>
        <w:jc w:val="both"/>
        <w:rPr>
          <w:rFonts w:ascii="Verdana" w:hAnsi="Verdana" w:cs="Arial"/>
          <w:sz w:val="24"/>
          <w:szCs w:val="24"/>
        </w:rPr>
      </w:pPr>
      <w:r w:rsidRPr="00A779D7">
        <w:rPr>
          <w:rFonts w:ascii="Verdana" w:hAnsi="Verdana" w:cs="Arial"/>
          <w:sz w:val="24"/>
          <w:szCs w:val="24"/>
        </w:rPr>
        <w:t xml:space="preserve">Data from the 2011 Census shows that </w:t>
      </w:r>
      <w:r>
        <w:rPr>
          <w:rFonts w:ascii="Verdana" w:hAnsi="Verdana" w:cs="Arial"/>
          <w:sz w:val="24"/>
          <w:szCs w:val="24"/>
        </w:rPr>
        <w:t>the majority (</w:t>
      </w:r>
      <w:r w:rsidR="00606928">
        <w:rPr>
          <w:rFonts w:ascii="Verdana" w:hAnsi="Verdana" w:cs="Arial"/>
          <w:sz w:val="24"/>
          <w:szCs w:val="24"/>
        </w:rPr>
        <w:t>54</w:t>
      </w:r>
      <w:r>
        <w:rPr>
          <w:rFonts w:ascii="Verdana" w:hAnsi="Verdana" w:cs="Arial"/>
          <w:sz w:val="24"/>
          <w:szCs w:val="24"/>
        </w:rPr>
        <w:t>%) of</w:t>
      </w:r>
      <w:r w:rsidRPr="00A779D7">
        <w:rPr>
          <w:rFonts w:ascii="Verdana" w:hAnsi="Verdana" w:cs="Arial"/>
          <w:sz w:val="24"/>
          <w:szCs w:val="24"/>
        </w:rPr>
        <w:t xml:space="preserve"> residential dwellings </w:t>
      </w:r>
      <w:r w:rsidR="0051560A">
        <w:rPr>
          <w:rFonts w:ascii="Verdana" w:hAnsi="Verdana" w:cs="Arial"/>
          <w:sz w:val="24"/>
          <w:szCs w:val="24"/>
        </w:rPr>
        <w:t xml:space="preserve">were </w:t>
      </w:r>
      <w:r>
        <w:rPr>
          <w:rFonts w:ascii="Verdana" w:hAnsi="Verdana" w:cs="Arial"/>
          <w:sz w:val="24"/>
          <w:szCs w:val="24"/>
        </w:rPr>
        <w:t>detached</w:t>
      </w:r>
      <w:r w:rsidRPr="00A779D7">
        <w:rPr>
          <w:rFonts w:ascii="Verdana" w:hAnsi="Verdana" w:cs="Arial"/>
          <w:sz w:val="24"/>
          <w:szCs w:val="24"/>
        </w:rPr>
        <w:t xml:space="preserve"> which is </w:t>
      </w:r>
      <w:r>
        <w:rPr>
          <w:rFonts w:ascii="Verdana" w:hAnsi="Verdana" w:cs="Arial"/>
          <w:sz w:val="24"/>
          <w:szCs w:val="24"/>
        </w:rPr>
        <w:t xml:space="preserve">somewhat higher than the </w:t>
      </w:r>
      <w:r w:rsidR="00887B8D">
        <w:rPr>
          <w:rFonts w:ascii="Verdana" w:hAnsi="Verdana" w:cs="Arial"/>
          <w:sz w:val="24"/>
          <w:szCs w:val="24"/>
        </w:rPr>
        <w:t>borough</w:t>
      </w:r>
      <w:r>
        <w:rPr>
          <w:rFonts w:ascii="Verdana" w:hAnsi="Verdana" w:cs="Arial"/>
          <w:sz w:val="24"/>
          <w:szCs w:val="24"/>
        </w:rPr>
        <w:t xml:space="preserve"> (</w:t>
      </w:r>
      <w:r w:rsidR="00606928">
        <w:rPr>
          <w:rFonts w:ascii="Verdana" w:hAnsi="Verdana" w:cs="Arial"/>
          <w:sz w:val="24"/>
          <w:szCs w:val="24"/>
        </w:rPr>
        <w:t>39</w:t>
      </w:r>
      <w:r>
        <w:rPr>
          <w:rFonts w:ascii="Verdana" w:hAnsi="Verdana" w:cs="Arial"/>
          <w:sz w:val="24"/>
          <w:szCs w:val="24"/>
        </w:rPr>
        <w:t>%), regional (32%)</w:t>
      </w:r>
      <w:r w:rsidR="007C00A1">
        <w:rPr>
          <w:rFonts w:ascii="Verdana" w:hAnsi="Verdana" w:cs="Arial"/>
          <w:sz w:val="24"/>
          <w:szCs w:val="24"/>
        </w:rPr>
        <w:t xml:space="preserve"> a</w:t>
      </w:r>
      <w:r>
        <w:rPr>
          <w:rFonts w:ascii="Verdana" w:hAnsi="Verdana" w:cs="Arial"/>
          <w:sz w:val="24"/>
          <w:szCs w:val="24"/>
        </w:rPr>
        <w:t xml:space="preserve">nd national (22%) </w:t>
      </w:r>
      <w:r w:rsidRPr="00A779D7">
        <w:rPr>
          <w:rFonts w:ascii="Verdana" w:hAnsi="Verdana" w:cs="Arial"/>
          <w:sz w:val="24"/>
          <w:szCs w:val="24"/>
        </w:rPr>
        <w:t>share</w:t>
      </w:r>
      <w:r>
        <w:rPr>
          <w:rFonts w:ascii="Verdana" w:hAnsi="Verdana" w:cs="Arial"/>
          <w:sz w:val="24"/>
          <w:szCs w:val="24"/>
        </w:rPr>
        <w:t>s</w:t>
      </w:r>
      <w:r w:rsidR="007C00A1">
        <w:rPr>
          <w:rFonts w:ascii="Verdana" w:hAnsi="Verdana" w:cs="Arial"/>
          <w:sz w:val="24"/>
          <w:szCs w:val="24"/>
        </w:rPr>
        <w:t xml:space="preserve">. </w:t>
      </w:r>
      <w:r w:rsidR="007004B3">
        <w:rPr>
          <w:rFonts w:ascii="Verdana" w:hAnsi="Verdana" w:cs="Arial"/>
          <w:sz w:val="24"/>
          <w:szCs w:val="24"/>
        </w:rPr>
        <w:t>S</w:t>
      </w:r>
      <w:r>
        <w:rPr>
          <w:rFonts w:ascii="Verdana" w:hAnsi="Verdana" w:cs="Arial"/>
          <w:sz w:val="24"/>
          <w:szCs w:val="24"/>
        </w:rPr>
        <w:t>emi-detached housing account</w:t>
      </w:r>
      <w:r w:rsidR="00606928">
        <w:rPr>
          <w:rFonts w:ascii="Verdana" w:hAnsi="Verdana" w:cs="Arial"/>
          <w:sz w:val="24"/>
          <w:szCs w:val="24"/>
        </w:rPr>
        <w:t>ed</w:t>
      </w:r>
      <w:r>
        <w:rPr>
          <w:rFonts w:ascii="Verdana" w:hAnsi="Verdana" w:cs="Arial"/>
          <w:sz w:val="24"/>
          <w:szCs w:val="24"/>
        </w:rPr>
        <w:t xml:space="preserve"> for </w:t>
      </w:r>
      <w:r w:rsidR="00606928">
        <w:rPr>
          <w:rFonts w:ascii="Verdana" w:hAnsi="Verdana" w:cs="Arial"/>
          <w:sz w:val="24"/>
          <w:szCs w:val="24"/>
        </w:rPr>
        <w:t>38</w:t>
      </w:r>
      <w:r>
        <w:rPr>
          <w:rFonts w:ascii="Verdana" w:hAnsi="Verdana" w:cs="Arial"/>
          <w:sz w:val="24"/>
          <w:szCs w:val="24"/>
        </w:rPr>
        <w:t>% of the housing stock against 3</w:t>
      </w:r>
      <w:r w:rsidR="00606928">
        <w:rPr>
          <w:rFonts w:ascii="Verdana" w:hAnsi="Verdana" w:cs="Arial"/>
          <w:sz w:val="24"/>
          <w:szCs w:val="24"/>
        </w:rPr>
        <w:t>5</w:t>
      </w:r>
      <w:r>
        <w:rPr>
          <w:rFonts w:ascii="Verdana" w:hAnsi="Verdana" w:cs="Arial"/>
          <w:sz w:val="24"/>
          <w:szCs w:val="24"/>
        </w:rPr>
        <w:t xml:space="preserve">% for the </w:t>
      </w:r>
      <w:r w:rsidR="00887B8D">
        <w:rPr>
          <w:rFonts w:ascii="Verdana" w:hAnsi="Verdana" w:cs="Arial"/>
          <w:sz w:val="24"/>
          <w:szCs w:val="24"/>
        </w:rPr>
        <w:t>borough</w:t>
      </w:r>
      <w:r w:rsidR="00606928">
        <w:rPr>
          <w:rFonts w:ascii="Verdana" w:hAnsi="Verdana" w:cs="Arial"/>
          <w:sz w:val="24"/>
          <w:szCs w:val="24"/>
        </w:rPr>
        <w:t xml:space="preserve"> and</w:t>
      </w:r>
      <w:r>
        <w:rPr>
          <w:rFonts w:ascii="Verdana" w:hAnsi="Verdana" w:cs="Arial"/>
          <w:sz w:val="24"/>
          <w:szCs w:val="24"/>
        </w:rPr>
        <w:t xml:space="preserve"> the region and 31% nationally. Terraced housing, flats and apartments </w:t>
      </w:r>
      <w:r w:rsidRPr="00A779D7">
        <w:rPr>
          <w:rFonts w:ascii="Verdana" w:hAnsi="Verdana" w:cs="Arial"/>
          <w:sz w:val="24"/>
          <w:szCs w:val="24"/>
        </w:rPr>
        <w:t xml:space="preserve">provide </w:t>
      </w:r>
      <w:r w:rsidR="0051560A">
        <w:rPr>
          <w:rFonts w:ascii="Verdana" w:hAnsi="Verdana" w:cs="Arial"/>
          <w:sz w:val="24"/>
          <w:szCs w:val="24"/>
        </w:rPr>
        <w:t xml:space="preserve">just </w:t>
      </w:r>
      <w:r w:rsidR="00606928">
        <w:rPr>
          <w:rFonts w:ascii="Verdana" w:hAnsi="Verdana" w:cs="Arial"/>
          <w:sz w:val="24"/>
          <w:szCs w:val="24"/>
        </w:rPr>
        <w:t>8</w:t>
      </w:r>
      <w:r w:rsidRPr="00A779D7">
        <w:rPr>
          <w:rFonts w:ascii="Verdana" w:hAnsi="Verdana" w:cs="Arial"/>
          <w:sz w:val="24"/>
          <w:szCs w:val="24"/>
        </w:rPr>
        <w:t>% of accommodation spaces</w:t>
      </w:r>
      <w:r>
        <w:rPr>
          <w:rFonts w:ascii="Verdana" w:hAnsi="Verdana" w:cs="Arial"/>
          <w:sz w:val="24"/>
          <w:szCs w:val="24"/>
        </w:rPr>
        <w:t xml:space="preserve"> which is </w:t>
      </w:r>
      <w:r w:rsidR="007004B3">
        <w:rPr>
          <w:rFonts w:ascii="Verdana" w:hAnsi="Verdana" w:cs="Arial"/>
          <w:sz w:val="24"/>
          <w:szCs w:val="24"/>
        </w:rPr>
        <w:t>lower than</w:t>
      </w:r>
      <w:r>
        <w:rPr>
          <w:rFonts w:ascii="Verdana" w:hAnsi="Verdana" w:cs="Arial"/>
          <w:sz w:val="24"/>
          <w:szCs w:val="24"/>
        </w:rPr>
        <w:t xml:space="preserve"> the </w:t>
      </w:r>
      <w:r w:rsidR="00887B8D">
        <w:rPr>
          <w:rFonts w:ascii="Verdana" w:hAnsi="Verdana" w:cs="Arial"/>
          <w:sz w:val="24"/>
          <w:szCs w:val="24"/>
        </w:rPr>
        <w:t>borough</w:t>
      </w:r>
      <w:r>
        <w:rPr>
          <w:rFonts w:ascii="Verdana" w:hAnsi="Verdana" w:cs="Arial"/>
          <w:sz w:val="24"/>
          <w:szCs w:val="24"/>
        </w:rPr>
        <w:t xml:space="preserve"> (</w:t>
      </w:r>
      <w:r w:rsidR="00606928">
        <w:rPr>
          <w:rFonts w:ascii="Verdana" w:hAnsi="Verdana" w:cs="Arial"/>
          <w:sz w:val="24"/>
          <w:szCs w:val="24"/>
        </w:rPr>
        <w:t>25</w:t>
      </w:r>
      <w:r>
        <w:rPr>
          <w:rFonts w:ascii="Verdana" w:hAnsi="Verdana" w:cs="Arial"/>
          <w:sz w:val="24"/>
          <w:szCs w:val="24"/>
        </w:rPr>
        <w:t>%), region (32%) and national (47%) shares</w:t>
      </w:r>
      <w:r w:rsidRPr="00A779D7">
        <w:rPr>
          <w:rFonts w:ascii="Verdana" w:hAnsi="Verdana" w:cs="Arial"/>
          <w:sz w:val="24"/>
          <w:szCs w:val="24"/>
        </w:rPr>
        <w:t>.</w:t>
      </w:r>
    </w:p>
    <w:p w14:paraId="07124693" w14:textId="77777777" w:rsidR="00606928" w:rsidRDefault="00606928">
      <w:r>
        <w:br w:type="page"/>
      </w:r>
    </w:p>
    <w:p w14:paraId="632A2D26" w14:textId="77777777" w:rsidR="00E042F0" w:rsidRPr="00842DE4" w:rsidRDefault="00E042F0" w:rsidP="00842DE4">
      <w:pPr>
        <w:pStyle w:val="NoSpacing"/>
      </w:pPr>
    </w:p>
    <w:p w14:paraId="6412EA09" w14:textId="77777777" w:rsidR="00265157" w:rsidRPr="00F37FDE" w:rsidRDefault="00265157" w:rsidP="00A215FC">
      <w:pPr>
        <w:pStyle w:val="Caption"/>
        <w:keepNext/>
        <w:spacing w:after="120"/>
        <w:jc w:val="center"/>
        <w:rPr>
          <w:rFonts w:ascii="Verdana" w:hAnsi="Verdana" w:cs="Arial"/>
          <w:b/>
          <w:sz w:val="22"/>
          <w:szCs w:val="24"/>
        </w:rPr>
      </w:pPr>
      <w:r w:rsidRPr="00F37FDE">
        <w:rPr>
          <w:rFonts w:ascii="Verdana" w:hAnsi="Verdana" w:cs="Arial"/>
          <w:b/>
          <w:sz w:val="22"/>
          <w:szCs w:val="24"/>
        </w:rPr>
        <w:t>Table</w:t>
      </w:r>
      <w:r w:rsidR="003D1B6E" w:rsidRPr="00F37FDE">
        <w:rPr>
          <w:rFonts w:ascii="Verdana" w:hAnsi="Verdana" w:cs="Arial"/>
          <w:b/>
          <w:sz w:val="22"/>
          <w:szCs w:val="24"/>
        </w:rPr>
        <w:t xml:space="preserve"> </w:t>
      </w:r>
      <w:r w:rsidRPr="00F37FDE">
        <w:rPr>
          <w:rFonts w:ascii="Verdana" w:hAnsi="Verdana" w:cs="Arial"/>
          <w:b/>
          <w:sz w:val="22"/>
          <w:szCs w:val="24"/>
        </w:rPr>
        <w:fldChar w:fldCharType="begin"/>
      </w:r>
      <w:r w:rsidRPr="00F37FDE">
        <w:rPr>
          <w:rFonts w:ascii="Verdana" w:hAnsi="Verdana" w:cs="Arial"/>
          <w:b/>
          <w:sz w:val="22"/>
          <w:szCs w:val="24"/>
        </w:rPr>
        <w:instrText xml:space="preserve"> SEQ Table \* ARABIC </w:instrText>
      </w:r>
      <w:r w:rsidRPr="00F37FDE">
        <w:rPr>
          <w:rFonts w:ascii="Verdana" w:hAnsi="Verdana" w:cs="Arial"/>
          <w:b/>
          <w:sz w:val="22"/>
          <w:szCs w:val="24"/>
        </w:rPr>
        <w:fldChar w:fldCharType="separate"/>
      </w:r>
      <w:r w:rsidR="00CA4EB9">
        <w:rPr>
          <w:rFonts w:ascii="Verdana" w:hAnsi="Verdana" w:cs="Arial"/>
          <w:b/>
          <w:noProof/>
          <w:sz w:val="22"/>
          <w:szCs w:val="24"/>
        </w:rPr>
        <w:t>4</w:t>
      </w:r>
      <w:r w:rsidRPr="00F37FDE">
        <w:rPr>
          <w:rFonts w:ascii="Verdana" w:hAnsi="Verdana" w:cs="Arial"/>
          <w:b/>
          <w:sz w:val="22"/>
          <w:szCs w:val="24"/>
        </w:rPr>
        <w:fldChar w:fldCharType="end"/>
      </w:r>
      <w:r w:rsidRPr="00F37FDE">
        <w:rPr>
          <w:rFonts w:ascii="Verdana" w:hAnsi="Verdana" w:cs="Arial"/>
          <w:b/>
          <w:sz w:val="22"/>
          <w:szCs w:val="24"/>
        </w:rPr>
        <w:t>:</w:t>
      </w:r>
      <w:r w:rsidR="003D1B6E" w:rsidRPr="00F37FDE">
        <w:rPr>
          <w:rFonts w:ascii="Verdana" w:hAnsi="Verdana" w:cs="Arial"/>
          <w:b/>
          <w:sz w:val="22"/>
          <w:szCs w:val="24"/>
        </w:rPr>
        <w:t xml:space="preserve"> </w:t>
      </w:r>
      <w:r w:rsidRPr="00F37FDE">
        <w:rPr>
          <w:rFonts w:ascii="Verdana" w:hAnsi="Verdana" w:cs="Arial"/>
          <w:b/>
          <w:sz w:val="22"/>
          <w:szCs w:val="24"/>
        </w:rPr>
        <w:t>Accommodation</w:t>
      </w:r>
      <w:r w:rsidR="003D1B6E" w:rsidRPr="00F37FDE">
        <w:rPr>
          <w:rFonts w:ascii="Verdana" w:hAnsi="Verdana" w:cs="Arial"/>
          <w:b/>
          <w:sz w:val="22"/>
          <w:szCs w:val="24"/>
        </w:rPr>
        <w:t xml:space="preserve"> </w:t>
      </w:r>
      <w:r w:rsidRPr="00F37FDE">
        <w:rPr>
          <w:rFonts w:ascii="Verdana" w:hAnsi="Verdana" w:cs="Arial"/>
          <w:b/>
          <w:sz w:val="22"/>
          <w:szCs w:val="24"/>
        </w:rPr>
        <w:t>Type,</w:t>
      </w:r>
      <w:r w:rsidR="003D1B6E" w:rsidRPr="00F37FDE">
        <w:rPr>
          <w:rFonts w:ascii="Verdana" w:hAnsi="Verdana" w:cs="Arial"/>
          <w:b/>
          <w:sz w:val="22"/>
          <w:szCs w:val="24"/>
        </w:rPr>
        <w:t xml:space="preserve"> </w:t>
      </w:r>
      <w:r w:rsidRPr="00F37FDE">
        <w:rPr>
          <w:rFonts w:ascii="Verdana" w:hAnsi="Verdana" w:cs="Arial"/>
          <w:b/>
          <w:sz w:val="22"/>
          <w:szCs w:val="24"/>
        </w:rPr>
        <w:t>2011</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824"/>
        <w:gridCol w:w="951"/>
        <w:gridCol w:w="1610"/>
        <w:gridCol w:w="1418"/>
        <w:gridCol w:w="1173"/>
      </w:tblGrid>
      <w:tr w:rsidR="00007C25" w:rsidRPr="00F37FDE" w14:paraId="2F00777B" w14:textId="77777777" w:rsidTr="00561C83">
        <w:trPr>
          <w:tblHeader/>
          <w:jc w:val="center"/>
        </w:trPr>
        <w:tc>
          <w:tcPr>
            <w:tcW w:w="3259" w:type="dxa"/>
            <w:vMerge w:val="restart"/>
            <w:shd w:val="clear" w:color="auto" w:fill="DEEAF6" w:themeFill="accent1" w:themeFillTint="33"/>
            <w:noWrap/>
            <w:vAlign w:val="center"/>
          </w:tcPr>
          <w:p w14:paraId="44A9564D" w14:textId="77777777" w:rsidR="00007C25" w:rsidRPr="00F37FDE" w:rsidRDefault="00007C25" w:rsidP="008B5A87">
            <w:pPr>
              <w:spacing w:after="0" w:line="240" w:lineRule="auto"/>
              <w:jc w:val="both"/>
              <w:rPr>
                <w:rFonts w:ascii="Verdana" w:eastAsia="Times New Roman" w:hAnsi="Verdana" w:cs="Arial"/>
                <w:b/>
                <w:bCs/>
                <w:color w:val="000000"/>
                <w:sz w:val="20"/>
                <w:szCs w:val="20"/>
                <w:lang w:eastAsia="en-GB"/>
              </w:rPr>
            </w:pPr>
          </w:p>
        </w:tc>
        <w:tc>
          <w:tcPr>
            <w:tcW w:w="1775" w:type="dxa"/>
            <w:gridSpan w:val="2"/>
            <w:shd w:val="clear" w:color="auto" w:fill="DEEAF6" w:themeFill="accent1" w:themeFillTint="33"/>
            <w:noWrap/>
            <w:vAlign w:val="center"/>
            <w:hideMark/>
          </w:tcPr>
          <w:p w14:paraId="2F60AB8E" w14:textId="77777777" w:rsidR="00007C25" w:rsidRPr="00F37FDE" w:rsidRDefault="00F64A4F" w:rsidP="001C020C">
            <w:pPr>
              <w:spacing w:after="0" w:line="240" w:lineRule="auto"/>
              <w:jc w:val="center"/>
              <w:rPr>
                <w:rFonts w:ascii="Verdana" w:eastAsia="Times New Roman" w:hAnsi="Verdana" w:cs="Arial"/>
                <w:b/>
                <w:color w:val="000000"/>
                <w:sz w:val="20"/>
                <w:szCs w:val="20"/>
                <w:lang w:eastAsia="en-GB"/>
              </w:rPr>
            </w:pPr>
            <w:r>
              <w:rPr>
                <w:rFonts w:ascii="Verdana" w:eastAsia="Times New Roman" w:hAnsi="Verdana" w:cs="Arial"/>
                <w:b/>
                <w:color w:val="000000"/>
                <w:sz w:val="20"/>
                <w:szCs w:val="20"/>
                <w:lang w:eastAsia="en-GB"/>
              </w:rPr>
              <w:t>Blackfordby</w:t>
            </w:r>
            <w:r w:rsidR="00E36FF9">
              <w:rPr>
                <w:rFonts w:ascii="Verdana" w:eastAsia="Times New Roman" w:hAnsi="Verdana" w:cs="Arial"/>
                <w:b/>
                <w:color w:val="000000"/>
                <w:sz w:val="20"/>
                <w:szCs w:val="20"/>
                <w:lang w:eastAsia="en-GB"/>
              </w:rPr>
              <w:t xml:space="preserve"> </w:t>
            </w:r>
          </w:p>
        </w:tc>
        <w:tc>
          <w:tcPr>
            <w:tcW w:w="1610" w:type="dxa"/>
            <w:shd w:val="clear" w:color="auto" w:fill="DEEAF6" w:themeFill="accent1" w:themeFillTint="33"/>
            <w:noWrap/>
            <w:vAlign w:val="center"/>
            <w:hideMark/>
          </w:tcPr>
          <w:p w14:paraId="2AA2296C" w14:textId="77777777" w:rsidR="00007C25" w:rsidRPr="00F37FDE" w:rsidRDefault="00F64A4F" w:rsidP="00E568F8">
            <w:pPr>
              <w:tabs>
                <w:tab w:val="left" w:pos="1593"/>
              </w:tabs>
              <w:spacing w:after="0" w:line="240" w:lineRule="auto"/>
              <w:jc w:val="center"/>
              <w:rPr>
                <w:rFonts w:ascii="Verdana" w:eastAsia="Times New Roman" w:hAnsi="Verdana" w:cs="Arial"/>
                <w:b/>
                <w:color w:val="000000"/>
                <w:sz w:val="20"/>
                <w:szCs w:val="20"/>
                <w:lang w:eastAsia="en-GB"/>
              </w:rPr>
            </w:pPr>
            <w:r>
              <w:rPr>
                <w:rFonts w:ascii="Verdana" w:eastAsia="Times New Roman" w:hAnsi="Verdana" w:cs="Arial"/>
                <w:b/>
                <w:color w:val="000000"/>
                <w:sz w:val="20"/>
                <w:szCs w:val="20"/>
                <w:lang w:eastAsia="en-GB"/>
              </w:rPr>
              <w:t>NW Leics</w:t>
            </w:r>
          </w:p>
        </w:tc>
        <w:tc>
          <w:tcPr>
            <w:tcW w:w="1418" w:type="dxa"/>
            <w:shd w:val="clear" w:color="auto" w:fill="DEEAF6" w:themeFill="accent1" w:themeFillTint="33"/>
            <w:noWrap/>
            <w:vAlign w:val="center"/>
            <w:hideMark/>
          </w:tcPr>
          <w:p w14:paraId="2A1BEEF9" w14:textId="77777777" w:rsidR="00007C25" w:rsidRPr="00F37FDE" w:rsidRDefault="00E568F8" w:rsidP="00E568F8">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East</w:t>
            </w:r>
            <w:r w:rsidRPr="00F37FDE">
              <w:rPr>
                <w:rFonts w:ascii="Verdana" w:eastAsia="Times New Roman" w:hAnsi="Verdana" w:cs="Arial"/>
                <w:b/>
                <w:color w:val="000000"/>
                <w:sz w:val="20"/>
                <w:szCs w:val="20"/>
                <w:lang w:eastAsia="en-GB"/>
              </w:rPr>
              <w:br/>
            </w:r>
            <w:r w:rsidR="00007C25" w:rsidRPr="00F37FDE">
              <w:rPr>
                <w:rFonts w:ascii="Verdana" w:eastAsia="Times New Roman" w:hAnsi="Verdana" w:cs="Arial"/>
                <w:b/>
                <w:color w:val="000000"/>
                <w:sz w:val="20"/>
                <w:szCs w:val="20"/>
                <w:lang w:eastAsia="en-GB"/>
              </w:rPr>
              <w:t>Midlands</w:t>
            </w:r>
          </w:p>
        </w:tc>
        <w:tc>
          <w:tcPr>
            <w:tcW w:w="1173" w:type="dxa"/>
            <w:shd w:val="clear" w:color="auto" w:fill="DEEAF6" w:themeFill="accent1" w:themeFillTint="33"/>
            <w:noWrap/>
            <w:vAlign w:val="center"/>
            <w:hideMark/>
          </w:tcPr>
          <w:p w14:paraId="0CAB9F07" w14:textId="77777777" w:rsidR="00007C25" w:rsidRPr="00F37FDE" w:rsidRDefault="00007C25" w:rsidP="00E568F8">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Eng</w:t>
            </w:r>
            <w:r w:rsidR="006F3F7C" w:rsidRPr="00F37FDE">
              <w:rPr>
                <w:rFonts w:ascii="Verdana" w:eastAsia="Times New Roman" w:hAnsi="Verdana" w:cs="Arial"/>
                <w:b/>
                <w:color w:val="000000"/>
                <w:sz w:val="20"/>
                <w:szCs w:val="20"/>
                <w:lang w:eastAsia="en-GB"/>
              </w:rPr>
              <w:t>land</w:t>
            </w:r>
          </w:p>
        </w:tc>
      </w:tr>
      <w:tr w:rsidR="00265157" w:rsidRPr="00F37FDE" w14:paraId="057B71A9" w14:textId="77777777" w:rsidTr="00561C83">
        <w:trPr>
          <w:tblHeader/>
          <w:jc w:val="center"/>
        </w:trPr>
        <w:tc>
          <w:tcPr>
            <w:tcW w:w="3259" w:type="dxa"/>
            <w:vMerge/>
            <w:shd w:val="clear" w:color="auto" w:fill="DEEAF6" w:themeFill="accent1" w:themeFillTint="33"/>
            <w:noWrap/>
            <w:vAlign w:val="center"/>
          </w:tcPr>
          <w:p w14:paraId="3FF47C68" w14:textId="77777777" w:rsidR="00265157" w:rsidRPr="00F37FDE" w:rsidRDefault="00265157" w:rsidP="008B5A87">
            <w:pPr>
              <w:spacing w:after="0" w:line="240" w:lineRule="auto"/>
              <w:jc w:val="both"/>
              <w:rPr>
                <w:rFonts w:ascii="Verdana" w:eastAsia="Times New Roman" w:hAnsi="Verdana" w:cs="Arial"/>
                <w:b/>
                <w:bCs/>
                <w:color w:val="000000"/>
                <w:sz w:val="20"/>
                <w:szCs w:val="20"/>
                <w:lang w:eastAsia="en-GB"/>
              </w:rPr>
            </w:pPr>
          </w:p>
        </w:tc>
        <w:tc>
          <w:tcPr>
            <w:tcW w:w="824" w:type="dxa"/>
            <w:shd w:val="clear" w:color="auto" w:fill="DEEAF6" w:themeFill="accent1" w:themeFillTint="33"/>
            <w:noWrap/>
            <w:vAlign w:val="center"/>
            <w:hideMark/>
          </w:tcPr>
          <w:p w14:paraId="215569A4" w14:textId="77777777" w:rsidR="00265157" w:rsidRPr="00F37FDE" w:rsidRDefault="00265157" w:rsidP="00E568F8">
            <w:pPr>
              <w:spacing w:after="0" w:line="240" w:lineRule="auto"/>
              <w:jc w:val="center"/>
              <w:rPr>
                <w:rFonts w:ascii="Verdana" w:eastAsia="Times New Roman" w:hAnsi="Verdana" w:cs="Arial"/>
                <w:b/>
                <w:bCs/>
                <w:color w:val="000000"/>
                <w:sz w:val="20"/>
                <w:szCs w:val="20"/>
                <w:lang w:eastAsia="en-GB"/>
              </w:rPr>
            </w:pPr>
            <w:r w:rsidRPr="00F37FDE">
              <w:rPr>
                <w:rFonts w:ascii="Verdana" w:eastAsia="Times New Roman" w:hAnsi="Verdana" w:cs="Arial"/>
                <w:b/>
                <w:bCs/>
                <w:color w:val="000000"/>
                <w:sz w:val="20"/>
                <w:szCs w:val="20"/>
                <w:lang w:eastAsia="en-GB"/>
              </w:rPr>
              <w:t>No</w:t>
            </w:r>
          </w:p>
        </w:tc>
        <w:tc>
          <w:tcPr>
            <w:tcW w:w="951" w:type="dxa"/>
            <w:shd w:val="clear" w:color="auto" w:fill="DEEAF6" w:themeFill="accent1" w:themeFillTint="33"/>
            <w:noWrap/>
            <w:vAlign w:val="center"/>
            <w:hideMark/>
          </w:tcPr>
          <w:p w14:paraId="64C27378" w14:textId="77777777" w:rsidR="00265157" w:rsidRPr="00F37FDE" w:rsidRDefault="00265157" w:rsidP="00E568F8">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w:t>
            </w:r>
          </w:p>
        </w:tc>
        <w:tc>
          <w:tcPr>
            <w:tcW w:w="1610" w:type="dxa"/>
            <w:shd w:val="clear" w:color="auto" w:fill="DEEAF6" w:themeFill="accent1" w:themeFillTint="33"/>
            <w:noWrap/>
            <w:vAlign w:val="center"/>
            <w:hideMark/>
          </w:tcPr>
          <w:p w14:paraId="12D4B9F5" w14:textId="77777777" w:rsidR="00265157" w:rsidRPr="00F37FDE" w:rsidRDefault="00265157" w:rsidP="00E568F8">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w:t>
            </w:r>
          </w:p>
        </w:tc>
        <w:tc>
          <w:tcPr>
            <w:tcW w:w="1418" w:type="dxa"/>
            <w:shd w:val="clear" w:color="auto" w:fill="DEEAF6" w:themeFill="accent1" w:themeFillTint="33"/>
            <w:noWrap/>
            <w:vAlign w:val="center"/>
            <w:hideMark/>
          </w:tcPr>
          <w:p w14:paraId="05EEAD0C" w14:textId="77777777" w:rsidR="00265157" w:rsidRPr="00F37FDE" w:rsidRDefault="00265157" w:rsidP="00E568F8">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w:t>
            </w:r>
          </w:p>
        </w:tc>
        <w:tc>
          <w:tcPr>
            <w:tcW w:w="1173" w:type="dxa"/>
            <w:shd w:val="clear" w:color="auto" w:fill="DEEAF6" w:themeFill="accent1" w:themeFillTint="33"/>
            <w:noWrap/>
            <w:vAlign w:val="center"/>
            <w:hideMark/>
          </w:tcPr>
          <w:p w14:paraId="30714BF3" w14:textId="77777777" w:rsidR="00265157" w:rsidRPr="00F37FDE" w:rsidRDefault="00265157" w:rsidP="00E568F8">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w:t>
            </w:r>
          </w:p>
        </w:tc>
      </w:tr>
      <w:tr w:rsidR="00606928" w:rsidRPr="00F37FDE" w14:paraId="7643CDC8" w14:textId="77777777" w:rsidTr="00606928">
        <w:trPr>
          <w:jc w:val="center"/>
        </w:trPr>
        <w:tc>
          <w:tcPr>
            <w:tcW w:w="3259" w:type="dxa"/>
            <w:shd w:val="clear" w:color="auto" w:fill="auto"/>
            <w:noWrap/>
            <w:vAlign w:val="bottom"/>
            <w:hideMark/>
          </w:tcPr>
          <w:p w14:paraId="6BC425B3" w14:textId="77777777" w:rsidR="00606928" w:rsidRPr="00842DE4" w:rsidRDefault="00606928" w:rsidP="00606928">
            <w:pPr>
              <w:spacing w:after="0" w:line="240" w:lineRule="auto"/>
              <w:jc w:val="right"/>
              <w:rPr>
                <w:rFonts w:ascii="Verdana" w:hAnsi="Verdana"/>
                <w:color w:val="000000"/>
                <w:sz w:val="20"/>
                <w:szCs w:val="20"/>
              </w:rPr>
            </w:pPr>
            <w:r w:rsidRPr="00842DE4">
              <w:rPr>
                <w:rFonts w:ascii="Verdana" w:hAnsi="Verdana"/>
                <w:color w:val="000000"/>
                <w:sz w:val="20"/>
                <w:szCs w:val="20"/>
              </w:rPr>
              <w:t>All household spaces</w:t>
            </w:r>
            <w:r>
              <w:rPr>
                <w:rFonts w:ascii="Verdana" w:hAnsi="Verdana"/>
                <w:color w:val="000000"/>
                <w:sz w:val="20"/>
                <w:szCs w:val="20"/>
              </w:rPr>
              <w:br/>
            </w:r>
            <w:r w:rsidRPr="00842DE4">
              <w:rPr>
                <w:rFonts w:ascii="Verdana" w:hAnsi="Verdana"/>
                <w:color w:val="000000"/>
                <w:sz w:val="20"/>
                <w:szCs w:val="20"/>
              </w:rPr>
              <w:t>(occupied + vacant)</w:t>
            </w:r>
          </w:p>
        </w:tc>
        <w:tc>
          <w:tcPr>
            <w:tcW w:w="824" w:type="dxa"/>
            <w:shd w:val="clear" w:color="auto" w:fill="auto"/>
            <w:noWrap/>
            <w:vAlign w:val="center"/>
          </w:tcPr>
          <w:p w14:paraId="5EE744E7" w14:textId="77777777" w:rsidR="00606928" w:rsidRPr="00606928" w:rsidRDefault="00606928" w:rsidP="00606928">
            <w:pPr>
              <w:tabs>
                <w:tab w:val="decimal" w:pos="432"/>
              </w:tabs>
              <w:spacing w:after="0" w:line="240" w:lineRule="auto"/>
              <w:rPr>
                <w:rFonts w:ascii="Verdana" w:hAnsi="Verdana" w:cs="Calibri"/>
                <w:color w:val="000000"/>
                <w:sz w:val="20"/>
                <w:szCs w:val="20"/>
              </w:rPr>
            </w:pPr>
            <w:r w:rsidRPr="00606928">
              <w:rPr>
                <w:rFonts w:ascii="Verdana" w:hAnsi="Verdana" w:cs="Calibri"/>
                <w:color w:val="000000"/>
                <w:sz w:val="20"/>
                <w:szCs w:val="20"/>
              </w:rPr>
              <w:t>673</w:t>
            </w:r>
          </w:p>
        </w:tc>
        <w:tc>
          <w:tcPr>
            <w:tcW w:w="951" w:type="dxa"/>
            <w:shd w:val="clear" w:color="auto" w:fill="auto"/>
            <w:noWrap/>
            <w:vAlign w:val="center"/>
          </w:tcPr>
          <w:p w14:paraId="694B3BF0" w14:textId="77777777" w:rsidR="00606928" w:rsidRPr="00606928" w:rsidRDefault="00606928" w:rsidP="00606928">
            <w:pPr>
              <w:tabs>
                <w:tab w:val="decimal" w:pos="303"/>
              </w:tabs>
              <w:spacing w:after="0" w:line="240" w:lineRule="auto"/>
              <w:rPr>
                <w:rFonts w:ascii="Verdana" w:hAnsi="Verdana" w:cs="Calibri"/>
                <w:color w:val="000000"/>
                <w:sz w:val="20"/>
                <w:szCs w:val="20"/>
              </w:rPr>
            </w:pPr>
            <w:r w:rsidRPr="00606928">
              <w:rPr>
                <w:rFonts w:ascii="Verdana" w:hAnsi="Verdana" w:cs="Calibri"/>
                <w:color w:val="000000"/>
                <w:sz w:val="20"/>
                <w:szCs w:val="20"/>
              </w:rPr>
              <w:t>100.0</w:t>
            </w:r>
          </w:p>
        </w:tc>
        <w:tc>
          <w:tcPr>
            <w:tcW w:w="1610" w:type="dxa"/>
            <w:shd w:val="clear" w:color="auto" w:fill="auto"/>
            <w:noWrap/>
            <w:vAlign w:val="center"/>
          </w:tcPr>
          <w:p w14:paraId="06476738" w14:textId="77777777" w:rsidR="00606928" w:rsidRPr="00606928" w:rsidRDefault="00606928" w:rsidP="00606928">
            <w:pPr>
              <w:tabs>
                <w:tab w:val="decimal" w:pos="772"/>
              </w:tabs>
              <w:spacing w:after="0" w:line="240" w:lineRule="auto"/>
              <w:rPr>
                <w:rFonts w:ascii="Verdana" w:hAnsi="Verdana" w:cs="Calibri"/>
                <w:color w:val="000000"/>
                <w:sz w:val="20"/>
                <w:szCs w:val="20"/>
              </w:rPr>
            </w:pPr>
            <w:r w:rsidRPr="00606928">
              <w:rPr>
                <w:rFonts w:ascii="Verdana" w:hAnsi="Verdana" w:cs="Calibri"/>
                <w:color w:val="000000"/>
                <w:sz w:val="20"/>
                <w:szCs w:val="20"/>
              </w:rPr>
              <w:t>100.0</w:t>
            </w:r>
          </w:p>
        </w:tc>
        <w:tc>
          <w:tcPr>
            <w:tcW w:w="1418" w:type="dxa"/>
            <w:shd w:val="clear" w:color="auto" w:fill="auto"/>
            <w:noWrap/>
            <w:vAlign w:val="center"/>
          </w:tcPr>
          <w:p w14:paraId="7C4F7A93"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100.0</w:t>
            </w:r>
          </w:p>
        </w:tc>
        <w:tc>
          <w:tcPr>
            <w:tcW w:w="1173" w:type="dxa"/>
            <w:shd w:val="clear" w:color="auto" w:fill="auto"/>
            <w:noWrap/>
            <w:vAlign w:val="center"/>
          </w:tcPr>
          <w:p w14:paraId="101E5231"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100.0</w:t>
            </w:r>
          </w:p>
        </w:tc>
      </w:tr>
      <w:tr w:rsidR="00606928" w:rsidRPr="00F37FDE" w14:paraId="2BC4F8A0" w14:textId="77777777" w:rsidTr="00606928">
        <w:trPr>
          <w:jc w:val="center"/>
        </w:trPr>
        <w:tc>
          <w:tcPr>
            <w:tcW w:w="3259" w:type="dxa"/>
            <w:shd w:val="clear" w:color="auto" w:fill="auto"/>
            <w:noWrap/>
            <w:vAlign w:val="bottom"/>
            <w:hideMark/>
          </w:tcPr>
          <w:p w14:paraId="223A6366" w14:textId="77777777" w:rsidR="00606928" w:rsidRPr="00842DE4" w:rsidRDefault="00606928" w:rsidP="00606928">
            <w:pPr>
              <w:spacing w:after="0" w:line="240" w:lineRule="auto"/>
              <w:jc w:val="right"/>
              <w:rPr>
                <w:rFonts w:ascii="Verdana" w:hAnsi="Verdana"/>
                <w:color w:val="000000"/>
                <w:sz w:val="20"/>
                <w:szCs w:val="20"/>
              </w:rPr>
            </w:pPr>
            <w:r w:rsidRPr="00842DE4">
              <w:rPr>
                <w:rFonts w:ascii="Verdana" w:hAnsi="Verdana"/>
                <w:color w:val="000000"/>
                <w:sz w:val="20"/>
                <w:szCs w:val="20"/>
              </w:rPr>
              <w:t>Detached</w:t>
            </w:r>
          </w:p>
        </w:tc>
        <w:tc>
          <w:tcPr>
            <w:tcW w:w="824" w:type="dxa"/>
            <w:shd w:val="clear" w:color="auto" w:fill="auto"/>
            <w:noWrap/>
            <w:vAlign w:val="center"/>
          </w:tcPr>
          <w:p w14:paraId="35040FB4" w14:textId="77777777" w:rsidR="00606928" w:rsidRPr="00606928" w:rsidRDefault="00606928" w:rsidP="00606928">
            <w:pPr>
              <w:tabs>
                <w:tab w:val="decimal" w:pos="432"/>
              </w:tabs>
              <w:spacing w:after="0" w:line="240" w:lineRule="auto"/>
              <w:rPr>
                <w:rFonts w:ascii="Verdana" w:hAnsi="Verdana" w:cs="Calibri"/>
                <w:color w:val="000000"/>
                <w:sz w:val="20"/>
                <w:szCs w:val="20"/>
              </w:rPr>
            </w:pPr>
            <w:r w:rsidRPr="00606928">
              <w:rPr>
                <w:rFonts w:ascii="Verdana" w:hAnsi="Verdana" w:cs="Calibri"/>
                <w:color w:val="000000"/>
                <w:sz w:val="20"/>
                <w:szCs w:val="20"/>
              </w:rPr>
              <w:t>363</w:t>
            </w:r>
          </w:p>
        </w:tc>
        <w:tc>
          <w:tcPr>
            <w:tcW w:w="951" w:type="dxa"/>
            <w:shd w:val="clear" w:color="auto" w:fill="auto"/>
            <w:noWrap/>
            <w:vAlign w:val="center"/>
          </w:tcPr>
          <w:p w14:paraId="77DB4973" w14:textId="77777777" w:rsidR="00606928" w:rsidRPr="00606928" w:rsidRDefault="00606928" w:rsidP="00606928">
            <w:pPr>
              <w:tabs>
                <w:tab w:val="decimal" w:pos="303"/>
              </w:tabs>
              <w:spacing w:after="0" w:line="240" w:lineRule="auto"/>
              <w:rPr>
                <w:rFonts w:ascii="Verdana" w:hAnsi="Verdana" w:cs="Calibri"/>
                <w:color w:val="000000"/>
                <w:sz w:val="20"/>
                <w:szCs w:val="20"/>
              </w:rPr>
            </w:pPr>
            <w:r w:rsidRPr="00606928">
              <w:rPr>
                <w:rFonts w:ascii="Verdana" w:hAnsi="Verdana" w:cs="Calibri"/>
                <w:color w:val="000000"/>
                <w:sz w:val="20"/>
                <w:szCs w:val="20"/>
              </w:rPr>
              <w:t>53.9</w:t>
            </w:r>
          </w:p>
        </w:tc>
        <w:tc>
          <w:tcPr>
            <w:tcW w:w="1610" w:type="dxa"/>
            <w:shd w:val="clear" w:color="auto" w:fill="auto"/>
            <w:noWrap/>
            <w:vAlign w:val="center"/>
          </w:tcPr>
          <w:p w14:paraId="329DB18C" w14:textId="77777777" w:rsidR="00606928" w:rsidRPr="00606928" w:rsidRDefault="00606928" w:rsidP="00606928">
            <w:pPr>
              <w:tabs>
                <w:tab w:val="decimal" w:pos="772"/>
              </w:tabs>
              <w:spacing w:after="0" w:line="240" w:lineRule="auto"/>
              <w:rPr>
                <w:rFonts w:ascii="Verdana" w:hAnsi="Verdana" w:cs="Calibri"/>
                <w:color w:val="000000"/>
                <w:sz w:val="20"/>
                <w:szCs w:val="20"/>
              </w:rPr>
            </w:pPr>
            <w:r w:rsidRPr="00606928">
              <w:rPr>
                <w:rFonts w:ascii="Verdana" w:hAnsi="Verdana" w:cs="Calibri"/>
                <w:color w:val="000000"/>
                <w:sz w:val="20"/>
                <w:szCs w:val="20"/>
              </w:rPr>
              <w:t>38.8</w:t>
            </w:r>
          </w:p>
        </w:tc>
        <w:tc>
          <w:tcPr>
            <w:tcW w:w="1418" w:type="dxa"/>
            <w:shd w:val="clear" w:color="auto" w:fill="auto"/>
            <w:noWrap/>
            <w:vAlign w:val="center"/>
          </w:tcPr>
          <w:p w14:paraId="66B10992"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32.2</w:t>
            </w:r>
          </w:p>
        </w:tc>
        <w:tc>
          <w:tcPr>
            <w:tcW w:w="1173" w:type="dxa"/>
            <w:shd w:val="clear" w:color="auto" w:fill="auto"/>
            <w:noWrap/>
            <w:vAlign w:val="center"/>
          </w:tcPr>
          <w:p w14:paraId="30C90B58"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22.3</w:t>
            </w:r>
          </w:p>
        </w:tc>
      </w:tr>
      <w:tr w:rsidR="00606928" w:rsidRPr="00F37FDE" w14:paraId="781D9FBC" w14:textId="77777777" w:rsidTr="00606928">
        <w:trPr>
          <w:jc w:val="center"/>
        </w:trPr>
        <w:tc>
          <w:tcPr>
            <w:tcW w:w="3259" w:type="dxa"/>
            <w:shd w:val="clear" w:color="auto" w:fill="auto"/>
            <w:noWrap/>
            <w:vAlign w:val="bottom"/>
            <w:hideMark/>
          </w:tcPr>
          <w:p w14:paraId="3E82DACE" w14:textId="77777777" w:rsidR="00606928" w:rsidRPr="00842DE4" w:rsidRDefault="00606928" w:rsidP="00606928">
            <w:pPr>
              <w:spacing w:after="0" w:line="240" w:lineRule="auto"/>
              <w:jc w:val="right"/>
              <w:rPr>
                <w:rFonts w:ascii="Verdana" w:hAnsi="Verdana"/>
                <w:color w:val="000000"/>
                <w:sz w:val="20"/>
                <w:szCs w:val="20"/>
              </w:rPr>
            </w:pPr>
            <w:r w:rsidRPr="00842DE4">
              <w:rPr>
                <w:rFonts w:ascii="Verdana" w:hAnsi="Verdana"/>
                <w:color w:val="000000"/>
                <w:sz w:val="20"/>
                <w:szCs w:val="20"/>
              </w:rPr>
              <w:t>Semi-Detached</w:t>
            </w:r>
          </w:p>
        </w:tc>
        <w:tc>
          <w:tcPr>
            <w:tcW w:w="824" w:type="dxa"/>
            <w:shd w:val="clear" w:color="auto" w:fill="auto"/>
            <w:noWrap/>
            <w:vAlign w:val="center"/>
          </w:tcPr>
          <w:p w14:paraId="3D10F205" w14:textId="77777777" w:rsidR="00606928" w:rsidRPr="00606928" w:rsidRDefault="00606928" w:rsidP="00606928">
            <w:pPr>
              <w:tabs>
                <w:tab w:val="decimal" w:pos="432"/>
              </w:tabs>
              <w:spacing w:after="0" w:line="240" w:lineRule="auto"/>
              <w:rPr>
                <w:rFonts w:ascii="Verdana" w:hAnsi="Verdana" w:cs="Calibri"/>
                <w:color w:val="000000"/>
                <w:sz w:val="20"/>
                <w:szCs w:val="20"/>
              </w:rPr>
            </w:pPr>
            <w:r w:rsidRPr="00606928">
              <w:rPr>
                <w:rFonts w:ascii="Verdana" w:hAnsi="Verdana" w:cs="Calibri"/>
                <w:color w:val="000000"/>
                <w:sz w:val="20"/>
                <w:szCs w:val="20"/>
              </w:rPr>
              <w:t>256</w:t>
            </w:r>
          </w:p>
        </w:tc>
        <w:tc>
          <w:tcPr>
            <w:tcW w:w="951" w:type="dxa"/>
            <w:shd w:val="clear" w:color="auto" w:fill="auto"/>
            <w:noWrap/>
            <w:vAlign w:val="center"/>
          </w:tcPr>
          <w:p w14:paraId="4E2173D8" w14:textId="77777777" w:rsidR="00606928" w:rsidRPr="00606928" w:rsidRDefault="00606928" w:rsidP="00606928">
            <w:pPr>
              <w:tabs>
                <w:tab w:val="decimal" w:pos="303"/>
              </w:tabs>
              <w:spacing w:after="0" w:line="240" w:lineRule="auto"/>
              <w:rPr>
                <w:rFonts w:ascii="Verdana" w:hAnsi="Verdana" w:cs="Calibri"/>
                <w:color w:val="000000"/>
                <w:sz w:val="20"/>
                <w:szCs w:val="20"/>
              </w:rPr>
            </w:pPr>
            <w:r w:rsidRPr="00606928">
              <w:rPr>
                <w:rFonts w:ascii="Verdana" w:hAnsi="Verdana" w:cs="Calibri"/>
                <w:color w:val="000000"/>
                <w:sz w:val="20"/>
                <w:szCs w:val="20"/>
              </w:rPr>
              <w:t>38.0</w:t>
            </w:r>
          </w:p>
        </w:tc>
        <w:tc>
          <w:tcPr>
            <w:tcW w:w="1610" w:type="dxa"/>
            <w:shd w:val="clear" w:color="auto" w:fill="auto"/>
            <w:noWrap/>
            <w:vAlign w:val="center"/>
          </w:tcPr>
          <w:p w14:paraId="746610FD" w14:textId="77777777" w:rsidR="00606928" w:rsidRPr="00606928" w:rsidRDefault="00606928" w:rsidP="00606928">
            <w:pPr>
              <w:tabs>
                <w:tab w:val="decimal" w:pos="772"/>
              </w:tabs>
              <w:spacing w:after="0" w:line="240" w:lineRule="auto"/>
              <w:rPr>
                <w:rFonts w:ascii="Verdana" w:hAnsi="Verdana" w:cs="Calibri"/>
                <w:color w:val="000000"/>
                <w:sz w:val="20"/>
                <w:szCs w:val="20"/>
              </w:rPr>
            </w:pPr>
            <w:r w:rsidRPr="00606928">
              <w:rPr>
                <w:rFonts w:ascii="Verdana" w:hAnsi="Verdana" w:cs="Calibri"/>
                <w:color w:val="000000"/>
                <w:sz w:val="20"/>
                <w:szCs w:val="20"/>
              </w:rPr>
              <w:t>35.2</w:t>
            </w:r>
          </w:p>
        </w:tc>
        <w:tc>
          <w:tcPr>
            <w:tcW w:w="1418" w:type="dxa"/>
            <w:shd w:val="clear" w:color="auto" w:fill="auto"/>
            <w:noWrap/>
            <w:vAlign w:val="center"/>
          </w:tcPr>
          <w:p w14:paraId="0AA6ACDB"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35.1</w:t>
            </w:r>
          </w:p>
        </w:tc>
        <w:tc>
          <w:tcPr>
            <w:tcW w:w="1173" w:type="dxa"/>
            <w:shd w:val="clear" w:color="auto" w:fill="auto"/>
            <w:noWrap/>
            <w:vAlign w:val="center"/>
          </w:tcPr>
          <w:p w14:paraId="3741F340"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30.7</w:t>
            </w:r>
          </w:p>
        </w:tc>
      </w:tr>
      <w:tr w:rsidR="00606928" w:rsidRPr="00F37FDE" w14:paraId="182F1B45" w14:textId="77777777" w:rsidTr="00606928">
        <w:trPr>
          <w:jc w:val="center"/>
        </w:trPr>
        <w:tc>
          <w:tcPr>
            <w:tcW w:w="3259" w:type="dxa"/>
            <w:shd w:val="clear" w:color="auto" w:fill="auto"/>
            <w:noWrap/>
            <w:vAlign w:val="bottom"/>
            <w:hideMark/>
          </w:tcPr>
          <w:p w14:paraId="2385E60F" w14:textId="77777777" w:rsidR="00606928" w:rsidRPr="00842DE4" w:rsidRDefault="00606928" w:rsidP="00606928">
            <w:pPr>
              <w:spacing w:after="0" w:line="240" w:lineRule="auto"/>
              <w:jc w:val="right"/>
              <w:rPr>
                <w:rFonts w:ascii="Verdana" w:hAnsi="Verdana"/>
                <w:color w:val="000000"/>
                <w:sz w:val="20"/>
                <w:szCs w:val="20"/>
              </w:rPr>
            </w:pPr>
            <w:r w:rsidRPr="00842DE4">
              <w:rPr>
                <w:rFonts w:ascii="Verdana" w:hAnsi="Verdana"/>
                <w:color w:val="000000"/>
                <w:sz w:val="20"/>
                <w:szCs w:val="20"/>
              </w:rPr>
              <w:t>Terraced</w:t>
            </w:r>
          </w:p>
        </w:tc>
        <w:tc>
          <w:tcPr>
            <w:tcW w:w="824" w:type="dxa"/>
            <w:shd w:val="clear" w:color="auto" w:fill="auto"/>
            <w:noWrap/>
            <w:vAlign w:val="center"/>
          </w:tcPr>
          <w:p w14:paraId="62D7A38A" w14:textId="77777777" w:rsidR="00606928" w:rsidRPr="00606928" w:rsidRDefault="00606928" w:rsidP="00606928">
            <w:pPr>
              <w:tabs>
                <w:tab w:val="decimal" w:pos="432"/>
              </w:tabs>
              <w:spacing w:after="0" w:line="240" w:lineRule="auto"/>
              <w:rPr>
                <w:rFonts w:ascii="Verdana" w:hAnsi="Verdana" w:cs="Calibri"/>
                <w:color w:val="000000"/>
                <w:sz w:val="20"/>
                <w:szCs w:val="20"/>
              </w:rPr>
            </w:pPr>
            <w:r w:rsidRPr="00606928">
              <w:rPr>
                <w:rFonts w:ascii="Verdana" w:hAnsi="Verdana" w:cs="Calibri"/>
                <w:color w:val="000000"/>
                <w:sz w:val="20"/>
                <w:szCs w:val="20"/>
              </w:rPr>
              <w:t>47</w:t>
            </w:r>
          </w:p>
        </w:tc>
        <w:tc>
          <w:tcPr>
            <w:tcW w:w="951" w:type="dxa"/>
            <w:shd w:val="clear" w:color="auto" w:fill="auto"/>
            <w:noWrap/>
            <w:vAlign w:val="center"/>
          </w:tcPr>
          <w:p w14:paraId="05A9DA06" w14:textId="77777777" w:rsidR="00606928" w:rsidRPr="00606928" w:rsidRDefault="00606928" w:rsidP="00606928">
            <w:pPr>
              <w:tabs>
                <w:tab w:val="decimal" w:pos="303"/>
              </w:tabs>
              <w:spacing w:after="0" w:line="240" w:lineRule="auto"/>
              <w:rPr>
                <w:rFonts w:ascii="Verdana" w:hAnsi="Verdana" w:cs="Calibri"/>
                <w:color w:val="000000"/>
                <w:sz w:val="20"/>
                <w:szCs w:val="20"/>
              </w:rPr>
            </w:pPr>
            <w:r w:rsidRPr="00606928">
              <w:rPr>
                <w:rFonts w:ascii="Verdana" w:hAnsi="Verdana" w:cs="Calibri"/>
                <w:color w:val="000000"/>
                <w:sz w:val="20"/>
                <w:szCs w:val="20"/>
              </w:rPr>
              <w:t>7.0</w:t>
            </w:r>
          </w:p>
        </w:tc>
        <w:tc>
          <w:tcPr>
            <w:tcW w:w="1610" w:type="dxa"/>
            <w:shd w:val="clear" w:color="auto" w:fill="auto"/>
            <w:noWrap/>
            <w:vAlign w:val="center"/>
          </w:tcPr>
          <w:p w14:paraId="601DD971" w14:textId="77777777" w:rsidR="00606928" w:rsidRPr="00606928" w:rsidRDefault="00606928" w:rsidP="00606928">
            <w:pPr>
              <w:tabs>
                <w:tab w:val="decimal" w:pos="772"/>
              </w:tabs>
              <w:spacing w:after="0" w:line="240" w:lineRule="auto"/>
              <w:rPr>
                <w:rFonts w:ascii="Verdana" w:hAnsi="Verdana" w:cs="Calibri"/>
                <w:color w:val="000000"/>
                <w:sz w:val="20"/>
                <w:szCs w:val="20"/>
              </w:rPr>
            </w:pPr>
            <w:r w:rsidRPr="00606928">
              <w:rPr>
                <w:rFonts w:ascii="Verdana" w:hAnsi="Verdana" w:cs="Calibri"/>
                <w:color w:val="000000"/>
                <w:sz w:val="20"/>
                <w:szCs w:val="20"/>
              </w:rPr>
              <w:t>18.2</w:t>
            </w:r>
          </w:p>
        </w:tc>
        <w:tc>
          <w:tcPr>
            <w:tcW w:w="1418" w:type="dxa"/>
            <w:shd w:val="clear" w:color="auto" w:fill="auto"/>
            <w:noWrap/>
            <w:vAlign w:val="center"/>
          </w:tcPr>
          <w:p w14:paraId="742BA5E7"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20.6</w:t>
            </w:r>
          </w:p>
        </w:tc>
        <w:tc>
          <w:tcPr>
            <w:tcW w:w="1173" w:type="dxa"/>
            <w:shd w:val="clear" w:color="auto" w:fill="auto"/>
            <w:noWrap/>
            <w:vAlign w:val="center"/>
          </w:tcPr>
          <w:p w14:paraId="498897A9"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24.5</w:t>
            </w:r>
          </w:p>
        </w:tc>
      </w:tr>
      <w:tr w:rsidR="00606928" w:rsidRPr="00F37FDE" w14:paraId="7B2A5AAF" w14:textId="77777777" w:rsidTr="00606928">
        <w:trPr>
          <w:jc w:val="center"/>
        </w:trPr>
        <w:tc>
          <w:tcPr>
            <w:tcW w:w="3259" w:type="dxa"/>
            <w:shd w:val="clear" w:color="auto" w:fill="auto"/>
            <w:noWrap/>
            <w:vAlign w:val="bottom"/>
            <w:hideMark/>
          </w:tcPr>
          <w:p w14:paraId="6235D69E" w14:textId="77777777" w:rsidR="00606928" w:rsidRPr="00842DE4" w:rsidRDefault="00606928" w:rsidP="00606928">
            <w:pPr>
              <w:spacing w:after="0" w:line="240" w:lineRule="auto"/>
              <w:jc w:val="right"/>
              <w:rPr>
                <w:rFonts w:ascii="Verdana" w:hAnsi="Verdana"/>
                <w:color w:val="000000"/>
                <w:sz w:val="20"/>
                <w:szCs w:val="20"/>
              </w:rPr>
            </w:pPr>
            <w:r w:rsidRPr="00842DE4">
              <w:rPr>
                <w:rFonts w:ascii="Verdana" w:hAnsi="Verdana"/>
                <w:color w:val="000000"/>
                <w:sz w:val="20"/>
                <w:szCs w:val="20"/>
              </w:rPr>
              <w:t>Flat, Maisonette or Apartment</w:t>
            </w:r>
          </w:p>
        </w:tc>
        <w:tc>
          <w:tcPr>
            <w:tcW w:w="824" w:type="dxa"/>
            <w:shd w:val="clear" w:color="auto" w:fill="auto"/>
            <w:noWrap/>
            <w:vAlign w:val="center"/>
          </w:tcPr>
          <w:p w14:paraId="46776036" w14:textId="77777777" w:rsidR="00606928" w:rsidRPr="00606928" w:rsidRDefault="00606928" w:rsidP="00606928">
            <w:pPr>
              <w:tabs>
                <w:tab w:val="decimal" w:pos="432"/>
              </w:tabs>
              <w:spacing w:after="0" w:line="240" w:lineRule="auto"/>
              <w:rPr>
                <w:rFonts w:ascii="Verdana" w:hAnsi="Verdana" w:cs="Calibri"/>
                <w:color w:val="000000"/>
                <w:sz w:val="20"/>
                <w:szCs w:val="20"/>
              </w:rPr>
            </w:pPr>
            <w:r w:rsidRPr="00606928">
              <w:rPr>
                <w:rFonts w:ascii="Verdana" w:hAnsi="Verdana" w:cs="Calibri"/>
                <w:color w:val="000000"/>
                <w:sz w:val="20"/>
                <w:szCs w:val="20"/>
              </w:rPr>
              <w:t>6</w:t>
            </w:r>
          </w:p>
        </w:tc>
        <w:tc>
          <w:tcPr>
            <w:tcW w:w="951" w:type="dxa"/>
            <w:shd w:val="clear" w:color="auto" w:fill="auto"/>
            <w:noWrap/>
            <w:vAlign w:val="center"/>
          </w:tcPr>
          <w:p w14:paraId="6CB2D846" w14:textId="77777777" w:rsidR="00606928" w:rsidRPr="00606928" w:rsidRDefault="00606928" w:rsidP="00606928">
            <w:pPr>
              <w:tabs>
                <w:tab w:val="decimal" w:pos="303"/>
              </w:tabs>
              <w:spacing w:after="0" w:line="240" w:lineRule="auto"/>
              <w:rPr>
                <w:rFonts w:ascii="Verdana" w:hAnsi="Verdana" w:cs="Calibri"/>
                <w:color w:val="000000"/>
                <w:sz w:val="20"/>
                <w:szCs w:val="20"/>
              </w:rPr>
            </w:pPr>
            <w:r w:rsidRPr="00606928">
              <w:rPr>
                <w:rFonts w:ascii="Verdana" w:hAnsi="Verdana" w:cs="Calibri"/>
                <w:color w:val="000000"/>
                <w:sz w:val="20"/>
                <w:szCs w:val="20"/>
              </w:rPr>
              <w:t>0.9</w:t>
            </w:r>
          </w:p>
        </w:tc>
        <w:tc>
          <w:tcPr>
            <w:tcW w:w="1610" w:type="dxa"/>
            <w:shd w:val="clear" w:color="auto" w:fill="auto"/>
            <w:noWrap/>
            <w:vAlign w:val="center"/>
          </w:tcPr>
          <w:p w14:paraId="241FDB69" w14:textId="77777777" w:rsidR="00606928" w:rsidRPr="00606928" w:rsidRDefault="00606928" w:rsidP="00606928">
            <w:pPr>
              <w:tabs>
                <w:tab w:val="decimal" w:pos="772"/>
              </w:tabs>
              <w:spacing w:after="0" w:line="240" w:lineRule="auto"/>
              <w:rPr>
                <w:rFonts w:ascii="Verdana" w:hAnsi="Verdana" w:cs="Calibri"/>
                <w:color w:val="000000"/>
                <w:sz w:val="20"/>
                <w:szCs w:val="20"/>
              </w:rPr>
            </w:pPr>
            <w:r w:rsidRPr="00606928">
              <w:rPr>
                <w:rFonts w:ascii="Verdana" w:hAnsi="Verdana" w:cs="Calibri"/>
                <w:color w:val="000000"/>
                <w:sz w:val="20"/>
                <w:szCs w:val="20"/>
              </w:rPr>
              <w:t>7.0</w:t>
            </w:r>
          </w:p>
        </w:tc>
        <w:tc>
          <w:tcPr>
            <w:tcW w:w="1418" w:type="dxa"/>
            <w:shd w:val="clear" w:color="auto" w:fill="auto"/>
            <w:noWrap/>
            <w:vAlign w:val="center"/>
          </w:tcPr>
          <w:p w14:paraId="753106DC"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11.7</w:t>
            </w:r>
          </w:p>
        </w:tc>
        <w:tc>
          <w:tcPr>
            <w:tcW w:w="1173" w:type="dxa"/>
            <w:shd w:val="clear" w:color="auto" w:fill="auto"/>
            <w:noWrap/>
            <w:vAlign w:val="center"/>
          </w:tcPr>
          <w:p w14:paraId="74E11D34"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22.1</w:t>
            </w:r>
          </w:p>
        </w:tc>
      </w:tr>
      <w:tr w:rsidR="00606928" w:rsidRPr="00F37FDE" w14:paraId="793AEFAA" w14:textId="77777777" w:rsidTr="00606928">
        <w:trPr>
          <w:jc w:val="center"/>
        </w:trPr>
        <w:tc>
          <w:tcPr>
            <w:tcW w:w="3259" w:type="dxa"/>
            <w:shd w:val="clear" w:color="auto" w:fill="auto"/>
            <w:noWrap/>
            <w:vAlign w:val="bottom"/>
            <w:hideMark/>
          </w:tcPr>
          <w:p w14:paraId="22E5E316" w14:textId="77777777" w:rsidR="00606928" w:rsidRPr="00842DE4" w:rsidRDefault="00606928" w:rsidP="00606928">
            <w:pPr>
              <w:spacing w:after="0" w:line="240" w:lineRule="auto"/>
              <w:jc w:val="right"/>
              <w:rPr>
                <w:rFonts w:ascii="Verdana" w:hAnsi="Verdana"/>
                <w:color w:val="000000"/>
                <w:sz w:val="20"/>
                <w:szCs w:val="20"/>
              </w:rPr>
            </w:pPr>
            <w:r w:rsidRPr="00842DE4">
              <w:rPr>
                <w:rFonts w:ascii="Verdana" w:hAnsi="Verdana"/>
                <w:color w:val="000000"/>
                <w:sz w:val="20"/>
                <w:szCs w:val="20"/>
              </w:rPr>
              <w:t>Caravan or Other Mobile or Temporary Structure</w:t>
            </w:r>
          </w:p>
        </w:tc>
        <w:tc>
          <w:tcPr>
            <w:tcW w:w="824" w:type="dxa"/>
            <w:shd w:val="clear" w:color="auto" w:fill="auto"/>
            <w:noWrap/>
            <w:vAlign w:val="center"/>
          </w:tcPr>
          <w:p w14:paraId="6845920A" w14:textId="77777777" w:rsidR="00606928" w:rsidRPr="00606928" w:rsidRDefault="00606928" w:rsidP="00606928">
            <w:pPr>
              <w:tabs>
                <w:tab w:val="decimal" w:pos="432"/>
              </w:tabs>
              <w:spacing w:after="0" w:line="240" w:lineRule="auto"/>
              <w:rPr>
                <w:rFonts w:ascii="Verdana" w:hAnsi="Verdana" w:cs="Calibri"/>
                <w:color w:val="000000"/>
                <w:sz w:val="20"/>
                <w:szCs w:val="20"/>
              </w:rPr>
            </w:pPr>
            <w:r w:rsidRPr="00606928">
              <w:rPr>
                <w:rFonts w:ascii="Verdana" w:hAnsi="Verdana" w:cs="Calibri"/>
                <w:color w:val="000000"/>
                <w:sz w:val="20"/>
                <w:szCs w:val="20"/>
              </w:rPr>
              <w:t>1</w:t>
            </w:r>
          </w:p>
        </w:tc>
        <w:tc>
          <w:tcPr>
            <w:tcW w:w="951" w:type="dxa"/>
            <w:shd w:val="clear" w:color="auto" w:fill="auto"/>
            <w:noWrap/>
            <w:vAlign w:val="center"/>
          </w:tcPr>
          <w:p w14:paraId="50007BAC" w14:textId="77777777" w:rsidR="00606928" w:rsidRPr="00606928" w:rsidRDefault="00606928" w:rsidP="00606928">
            <w:pPr>
              <w:tabs>
                <w:tab w:val="decimal" w:pos="303"/>
              </w:tabs>
              <w:spacing w:after="0" w:line="240" w:lineRule="auto"/>
              <w:rPr>
                <w:rFonts w:ascii="Verdana" w:hAnsi="Verdana" w:cs="Calibri"/>
                <w:color w:val="000000"/>
                <w:sz w:val="20"/>
                <w:szCs w:val="20"/>
              </w:rPr>
            </w:pPr>
            <w:r w:rsidRPr="00606928">
              <w:rPr>
                <w:rFonts w:ascii="Verdana" w:hAnsi="Verdana" w:cs="Calibri"/>
                <w:color w:val="000000"/>
                <w:sz w:val="20"/>
                <w:szCs w:val="20"/>
              </w:rPr>
              <w:t>0.1</w:t>
            </w:r>
          </w:p>
        </w:tc>
        <w:tc>
          <w:tcPr>
            <w:tcW w:w="1610" w:type="dxa"/>
            <w:shd w:val="clear" w:color="auto" w:fill="auto"/>
            <w:noWrap/>
            <w:vAlign w:val="center"/>
          </w:tcPr>
          <w:p w14:paraId="3D9560DB" w14:textId="77777777" w:rsidR="00606928" w:rsidRPr="00606928" w:rsidRDefault="00606928" w:rsidP="00606928">
            <w:pPr>
              <w:tabs>
                <w:tab w:val="decimal" w:pos="772"/>
              </w:tabs>
              <w:spacing w:after="0" w:line="240" w:lineRule="auto"/>
              <w:rPr>
                <w:rFonts w:ascii="Verdana" w:hAnsi="Verdana" w:cs="Calibri"/>
                <w:color w:val="000000"/>
                <w:sz w:val="20"/>
                <w:szCs w:val="20"/>
              </w:rPr>
            </w:pPr>
            <w:r w:rsidRPr="00606928">
              <w:rPr>
                <w:rFonts w:ascii="Verdana" w:hAnsi="Verdana" w:cs="Calibri"/>
                <w:color w:val="000000"/>
                <w:sz w:val="20"/>
                <w:szCs w:val="20"/>
              </w:rPr>
              <w:t>0.9</w:t>
            </w:r>
          </w:p>
        </w:tc>
        <w:tc>
          <w:tcPr>
            <w:tcW w:w="1418" w:type="dxa"/>
            <w:shd w:val="clear" w:color="auto" w:fill="auto"/>
            <w:noWrap/>
            <w:vAlign w:val="center"/>
          </w:tcPr>
          <w:p w14:paraId="26B19690"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0.4</w:t>
            </w:r>
          </w:p>
        </w:tc>
        <w:tc>
          <w:tcPr>
            <w:tcW w:w="1173" w:type="dxa"/>
            <w:shd w:val="clear" w:color="auto" w:fill="auto"/>
            <w:noWrap/>
            <w:vAlign w:val="center"/>
          </w:tcPr>
          <w:p w14:paraId="05E9E676" w14:textId="77777777" w:rsidR="00606928" w:rsidRPr="00842DE4" w:rsidRDefault="00606928" w:rsidP="00606928">
            <w:pPr>
              <w:tabs>
                <w:tab w:val="decimal" w:pos="547"/>
              </w:tabs>
              <w:spacing w:after="0" w:line="240" w:lineRule="auto"/>
              <w:rPr>
                <w:rFonts w:ascii="Verdana" w:hAnsi="Verdana"/>
                <w:color w:val="000000"/>
                <w:sz w:val="20"/>
                <w:szCs w:val="20"/>
              </w:rPr>
            </w:pPr>
            <w:r w:rsidRPr="00842DE4">
              <w:rPr>
                <w:rFonts w:ascii="Verdana" w:hAnsi="Verdana"/>
                <w:color w:val="000000"/>
                <w:sz w:val="20"/>
                <w:szCs w:val="20"/>
              </w:rPr>
              <w:t>0.4</w:t>
            </w:r>
          </w:p>
        </w:tc>
      </w:tr>
    </w:tbl>
    <w:p w14:paraId="650952CD" w14:textId="77777777" w:rsidR="00EF595C" w:rsidRPr="00F37FDE" w:rsidRDefault="00EF595C" w:rsidP="00B36C63">
      <w:pPr>
        <w:pStyle w:val="NoSpacing"/>
        <w:spacing w:before="80"/>
        <w:jc w:val="center"/>
        <w:rPr>
          <w:rFonts w:ascii="Verdana" w:hAnsi="Verdana" w:cs="Arial"/>
          <w:i/>
          <w:sz w:val="20"/>
          <w:szCs w:val="24"/>
        </w:rPr>
      </w:pPr>
      <w:r w:rsidRPr="00F37FDE">
        <w:rPr>
          <w:rFonts w:ascii="Verdana" w:hAnsi="Verdana" w:cs="Arial"/>
          <w:i/>
          <w:sz w:val="20"/>
          <w:szCs w:val="24"/>
        </w:rPr>
        <w:t>Source:</w:t>
      </w:r>
      <w:r w:rsidR="003D1B6E" w:rsidRPr="00F37FDE">
        <w:rPr>
          <w:rFonts w:ascii="Verdana" w:hAnsi="Verdana" w:cs="Arial"/>
          <w:i/>
          <w:sz w:val="20"/>
          <w:szCs w:val="24"/>
        </w:rPr>
        <w:t xml:space="preserve"> </w:t>
      </w:r>
      <w:r w:rsidRPr="00F37FDE">
        <w:rPr>
          <w:rFonts w:ascii="Verdana" w:hAnsi="Verdana" w:cs="Arial"/>
          <w:i/>
          <w:sz w:val="20"/>
          <w:szCs w:val="24"/>
        </w:rPr>
        <w:t>Census</w:t>
      </w:r>
      <w:r w:rsidR="003D1B6E" w:rsidRPr="00F37FDE">
        <w:rPr>
          <w:rFonts w:ascii="Verdana" w:hAnsi="Verdana" w:cs="Arial"/>
          <w:i/>
          <w:sz w:val="20"/>
          <w:szCs w:val="24"/>
        </w:rPr>
        <w:t xml:space="preserve"> </w:t>
      </w:r>
      <w:r w:rsidRPr="00F37FDE">
        <w:rPr>
          <w:rFonts w:ascii="Verdana" w:hAnsi="Verdana" w:cs="Arial"/>
          <w:i/>
          <w:sz w:val="20"/>
          <w:szCs w:val="24"/>
        </w:rPr>
        <w:t>2011,</w:t>
      </w:r>
      <w:r w:rsidR="003D1B6E" w:rsidRPr="00F37FDE">
        <w:rPr>
          <w:rFonts w:ascii="Verdana" w:hAnsi="Verdana" w:cs="Arial"/>
          <w:i/>
          <w:sz w:val="20"/>
          <w:szCs w:val="24"/>
        </w:rPr>
        <w:t xml:space="preserve"> </w:t>
      </w:r>
      <w:r w:rsidR="00456E15" w:rsidRPr="00456E15">
        <w:rPr>
          <w:rFonts w:ascii="Verdana" w:hAnsi="Verdana" w:cs="Arial"/>
          <w:i/>
          <w:sz w:val="20"/>
          <w:szCs w:val="24"/>
        </w:rPr>
        <w:t>KS405EW</w:t>
      </w:r>
    </w:p>
    <w:p w14:paraId="31BA8107" w14:textId="77777777" w:rsidR="00D14E91" w:rsidRPr="00896C9F" w:rsidRDefault="00D14E91" w:rsidP="00896C9F">
      <w:pPr>
        <w:pStyle w:val="NoSpacing"/>
      </w:pPr>
    </w:p>
    <w:p w14:paraId="5AF4BB5D" w14:textId="77777777" w:rsidR="00B83681" w:rsidRPr="00F37FDE" w:rsidRDefault="00D14E91" w:rsidP="00B83681">
      <w:pPr>
        <w:pStyle w:val="NoSpacing"/>
        <w:jc w:val="both"/>
        <w:rPr>
          <w:rFonts w:ascii="Verdana" w:hAnsi="Verdana" w:cs="Arial"/>
          <w:b/>
          <w:sz w:val="24"/>
          <w:szCs w:val="24"/>
        </w:rPr>
      </w:pPr>
      <w:r>
        <w:rPr>
          <w:rFonts w:ascii="Verdana" w:hAnsi="Verdana" w:cs="Arial"/>
          <w:b/>
          <w:sz w:val="24"/>
          <w:szCs w:val="24"/>
        </w:rPr>
        <w:t xml:space="preserve">Number of Bedrooms and </w:t>
      </w:r>
      <w:r w:rsidR="00B83681" w:rsidRPr="00F37FDE">
        <w:rPr>
          <w:rFonts w:ascii="Verdana" w:hAnsi="Verdana" w:cs="Arial"/>
          <w:b/>
          <w:sz w:val="24"/>
          <w:szCs w:val="24"/>
        </w:rPr>
        <w:t>Occupancy Rates</w:t>
      </w:r>
    </w:p>
    <w:p w14:paraId="79C4C61C" w14:textId="77777777" w:rsidR="00826D62" w:rsidRDefault="00361D94" w:rsidP="00B83681">
      <w:pPr>
        <w:pStyle w:val="NoSpacing"/>
        <w:spacing w:before="120"/>
        <w:jc w:val="both"/>
        <w:rPr>
          <w:rFonts w:ascii="Verdana" w:hAnsi="Verdana" w:cs="Arial"/>
          <w:sz w:val="24"/>
          <w:szCs w:val="24"/>
        </w:rPr>
      </w:pPr>
      <w:r>
        <w:rPr>
          <w:rFonts w:ascii="Verdana" w:hAnsi="Verdana" w:cs="Arial"/>
          <w:sz w:val="24"/>
          <w:szCs w:val="24"/>
        </w:rPr>
        <w:t xml:space="preserve">Around 20% </w:t>
      </w:r>
      <w:r w:rsidR="00B477E3">
        <w:rPr>
          <w:rFonts w:ascii="Verdana" w:hAnsi="Verdana" w:cs="Arial"/>
          <w:sz w:val="24"/>
          <w:szCs w:val="24"/>
        </w:rPr>
        <w:t xml:space="preserve">of households live in houses with </w:t>
      </w:r>
      <w:r w:rsidR="00896C9F">
        <w:rPr>
          <w:rFonts w:ascii="Verdana" w:hAnsi="Verdana" w:cs="Arial"/>
          <w:sz w:val="24"/>
          <w:szCs w:val="24"/>
        </w:rPr>
        <w:t>four or more</w:t>
      </w:r>
      <w:r w:rsidR="00B477E3">
        <w:rPr>
          <w:rFonts w:ascii="Verdana" w:hAnsi="Verdana" w:cs="Arial"/>
          <w:sz w:val="24"/>
          <w:szCs w:val="24"/>
        </w:rPr>
        <w:t xml:space="preserve"> bedrooms which is</w:t>
      </w:r>
      <w:r>
        <w:rPr>
          <w:rFonts w:ascii="Verdana" w:hAnsi="Verdana" w:cs="Arial"/>
          <w:sz w:val="24"/>
          <w:szCs w:val="24"/>
        </w:rPr>
        <w:t xml:space="preserve"> in line with the regional rate and close to the national (19%) rate</w:t>
      </w:r>
      <w:r w:rsidR="00675D2E">
        <w:rPr>
          <w:rFonts w:ascii="Verdana" w:hAnsi="Verdana" w:cs="Arial"/>
          <w:sz w:val="24"/>
          <w:szCs w:val="24"/>
        </w:rPr>
        <w:t xml:space="preserve"> but lower than the 23% borough average</w:t>
      </w:r>
      <w:r>
        <w:rPr>
          <w:rFonts w:ascii="Verdana" w:hAnsi="Verdana" w:cs="Arial"/>
          <w:sz w:val="24"/>
          <w:szCs w:val="24"/>
        </w:rPr>
        <w:t xml:space="preserve">. </w:t>
      </w:r>
      <w:r w:rsidR="007B4084" w:rsidRPr="00F37FDE">
        <w:rPr>
          <w:rFonts w:ascii="Verdana" w:hAnsi="Verdana" w:cs="Arial"/>
          <w:sz w:val="24"/>
          <w:szCs w:val="24"/>
        </w:rPr>
        <w:t>T</w:t>
      </w:r>
      <w:r w:rsidR="00826D62" w:rsidRPr="00F37FDE">
        <w:rPr>
          <w:rFonts w:ascii="Verdana" w:hAnsi="Verdana" w:cs="Arial"/>
          <w:sz w:val="24"/>
          <w:szCs w:val="24"/>
        </w:rPr>
        <w:t>here</w:t>
      </w:r>
      <w:r w:rsidR="003D1B6E" w:rsidRPr="00F37FDE">
        <w:rPr>
          <w:rFonts w:ascii="Verdana" w:hAnsi="Verdana" w:cs="Arial"/>
          <w:sz w:val="24"/>
          <w:szCs w:val="24"/>
        </w:rPr>
        <w:t xml:space="preserve"> </w:t>
      </w:r>
      <w:r w:rsidR="00826D62" w:rsidRPr="00F37FDE">
        <w:rPr>
          <w:rFonts w:ascii="Verdana" w:hAnsi="Verdana" w:cs="Arial"/>
          <w:sz w:val="24"/>
          <w:szCs w:val="24"/>
        </w:rPr>
        <w:t>is</w:t>
      </w:r>
      <w:r w:rsidR="003D1B6E" w:rsidRPr="00F37FDE">
        <w:rPr>
          <w:rFonts w:ascii="Verdana" w:hAnsi="Verdana" w:cs="Arial"/>
          <w:sz w:val="24"/>
          <w:szCs w:val="24"/>
        </w:rPr>
        <w:t xml:space="preserve"> </w:t>
      </w:r>
      <w:r w:rsidR="00826D62" w:rsidRPr="00F37FDE">
        <w:rPr>
          <w:rFonts w:ascii="Verdana" w:hAnsi="Verdana" w:cs="Arial"/>
          <w:sz w:val="24"/>
          <w:szCs w:val="24"/>
        </w:rPr>
        <w:t>an</w:t>
      </w:r>
      <w:r w:rsidR="003D1B6E" w:rsidRPr="00F37FDE">
        <w:rPr>
          <w:rFonts w:ascii="Verdana" w:hAnsi="Verdana" w:cs="Arial"/>
          <w:sz w:val="24"/>
          <w:szCs w:val="24"/>
        </w:rPr>
        <w:t xml:space="preserve"> </w:t>
      </w:r>
      <w:r w:rsidR="00826D62" w:rsidRPr="00F37FDE">
        <w:rPr>
          <w:rFonts w:ascii="Verdana" w:hAnsi="Verdana" w:cs="Arial"/>
          <w:sz w:val="24"/>
          <w:szCs w:val="24"/>
        </w:rPr>
        <w:t>under</w:t>
      </w:r>
      <w:r w:rsidR="003D1B6E" w:rsidRPr="00F37FDE">
        <w:rPr>
          <w:rFonts w:ascii="Verdana" w:hAnsi="Verdana" w:cs="Arial"/>
          <w:sz w:val="24"/>
          <w:szCs w:val="24"/>
        </w:rPr>
        <w:t xml:space="preserve"> </w:t>
      </w:r>
      <w:r w:rsidR="00826D62" w:rsidRPr="00F37FDE">
        <w:rPr>
          <w:rFonts w:ascii="Verdana" w:hAnsi="Verdana" w:cs="Arial"/>
          <w:sz w:val="24"/>
          <w:szCs w:val="24"/>
        </w:rPr>
        <w:t>representation</w:t>
      </w:r>
      <w:r w:rsidR="003D1B6E" w:rsidRPr="00F37FDE">
        <w:rPr>
          <w:rFonts w:ascii="Verdana" w:hAnsi="Verdana" w:cs="Arial"/>
          <w:sz w:val="24"/>
          <w:szCs w:val="24"/>
        </w:rPr>
        <w:t xml:space="preserve"> </w:t>
      </w:r>
      <w:r w:rsidR="00826D62" w:rsidRPr="00F37FDE">
        <w:rPr>
          <w:rFonts w:ascii="Verdana" w:hAnsi="Verdana" w:cs="Arial"/>
          <w:sz w:val="24"/>
          <w:szCs w:val="24"/>
        </w:rPr>
        <w:t>of</w:t>
      </w:r>
      <w:r w:rsidR="003D1B6E" w:rsidRPr="00F37FDE">
        <w:rPr>
          <w:rFonts w:ascii="Verdana" w:hAnsi="Verdana" w:cs="Arial"/>
          <w:sz w:val="24"/>
          <w:szCs w:val="24"/>
        </w:rPr>
        <w:t xml:space="preserve"> </w:t>
      </w:r>
      <w:r w:rsidR="00881BC2">
        <w:rPr>
          <w:rFonts w:ascii="Verdana" w:hAnsi="Verdana" w:cs="Arial"/>
          <w:sz w:val="24"/>
          <w:szCs w:val="24"/>
        </w:rPr>
        <w:t xml:space="preserve">housing for single people with </w:t>
      </w:r>
      <w:r w:rsidR="00F05D29">
        <w:rPr>
          <w:rFonts w:ascii="Verdana" w:hAnsi="Verdana" w:cs="Arial"/>
          <w:sz w:val="24"/>
          <w:szCs w:val="24"/>
        </w:rPr>
        <w:t>just</w:t>
      </w:r>
      <w:r w:rsidR="003D1B6E" w:rsidRPr="00F37FDE">
        <w:rPr>
          <w:rFonts w:ascii="Verdana" w:hAnsi="Verdana" w:cs="Arial"/>
          <w:sz w:val="24"/>
          <w:szCs w:val="24"/>
        </w:rPr>
        <w:t xml:space="preserve"> </w:t>
      </w:r>
      <w:r w:rsidR="000B3C63">
        <w:rPr>
          <w:rFonts w:ascii="Verdana" w:hAnsi="Verdana" w:cs="Arial"/>
          <w:sz w:val="24"/>
          <w:szCs w:val="24"/>
        </w:rPr>
        <w:t>3</w:t>
      </w:r>
      <w:r w:rsidR="00FE75C3" w:rsidRPr="00F37FDE">
        <w:rPr>
          <w:rFonts w:ascii="Verdana" w:hAnsi="Verdana" w:cs="Arial"/>
          <w:sz w:val="24"/>
          <w:szCs w:val="24"/>
        </w:rPr>
        <w:t>%</w:t>
      </w:r>
      <w:r w:rsidR="003D1B6E" w:rsidRPr="00F37FDE">
        <w:rPr>
          <w:rFonts w:ascii="Verdana" w:hAnsi="Verdana" w:cs="Arial"/>
          <w:sz w:val="24"/>
          <w:szCs w:val="24"/>
        </w:rPr>
        <w:t xml:space="preserve"> </w:t>
      </w:r>
      <w:r w:rsidR="00826D62" w:rsidRPr="00F37FDE">
        <w:rPr>
          <w:rFonts w:ascii="Verdana" w:hAnsi="Verdana" w:cs="Arial"/>
          <w:sz w:val="24"/>
          <w:szCs w:val="24"/>
        </w:rPr>
        <w:t>of</w:t>
      </w:r>
      <w:r w:rsidR="003D1B6E" w:rsidRPr="00F37FDE">
        <w:rPr>
          <w:rFonts w:ascii="Verdana" w:hAnsi="Verdana" w:cs="Arial"/>
          <w:sz w:val="24"/>
          <w:szCs w:val="24"/>
        </w:rPr>
        <w:t xml:space="preserve"> </w:t>
      </w:r>
      <w:r w:rsidR="00826D62" w:rsidRPr="00F37FDE">
        <w:rPr>
          <w:rFonts w:ascii="Verdana" w:hAnsi="Verdana" w:cs="Arial"/>
          <w:sz w:val="24"/>
          <w:szCs w:val="24"/>
        </w:rPr>
        <w:t>dwellings</w:t>
      </w:r>
      <w:r w:rsidR="003D1B6E" w:rsidRPr="00F37FDE">
        <w:rPr>
          <w:rFonts w:ascii="Verdana" w:hAnsi="Verdana" w:cs="Arial"/>
          <w:sz w:val="24"/>
          <w:szCs w:val="24"/>
        </w:rPr>
        <w:t xml:space="preserve"> </w:t>
      </w:r>
      <w:r w:rsidR="00826D62" w:rsidRPr="00F37FDE">
        <w:rPr>
          <w:rFonts w:ascii="Verdana" w:hAnsi="Verdana" w:cs="Arial"/>
          <w:sz w:val="24"/>
          <w:szCs w:val="24"/>
        </w:rPr>
        <w:t>having</w:t>
      </w:r>
      <w:r w:rsidR="003D1B6E" w:rsidRPr="00F37FDE">
        <w:rPr>
          <w:rFonts w:ascii="Verdana" w:hAnsi="Verdana" w:cs="Arial"/>
          <w:sz w:val="24"/>
          <w:szCs w:val="24"/>
        </w:rPr>
        <w:t xml:space="preserve"> </w:t>
      </w:r>
      <w:r w:rsidR="00881BC2">
        <w:rPr>
          <w:rFonts w:ascii="Verdana" w:hAnsi="Verdana" w:cs="Arial"/>
          <w:sz w:val="24"/>
          <w:szCs w:val="24"/>
        </w:rPr>
        <w:t>one</w:t>
      </w:r>
      <w:r w:rsidR="003D1B6E" w:rsidRPr="00F37FDE">
        <w:rPr>
          <w:rFonts w:ascii="Verdana" w:hAnsi="Verdana" w:cs="Arial"/>
          <w:sz w:val="24"/>
          <w:szCs w:val="24"/>
        </w:rPr>
        <w:t xml:space="preserve"> </w:t>
      </w:r>
      <w:r w:rsidR="00826D62" w:rsidRPr="00F37FDE">
        <w:rPr>
          <w:rFonts w:ascii="Verdana" w:hAnsi="Verdana" w:cs="Arial"/>
          <w:sz w:val="24"/>
          <w:szCs w:val="24"/>
        </w:rPr>
        <w:t>bedroom</w:t>
      </w:r>
      <w:r w:rsidR="003D1B6E" w:rsidRPr="00F37FDE">
        <w:rPr>
          <w:rFonts w:ascii="Verdana" w:hAnsi="Verdana" w:cs="Arial"/>
          <w:sz w:val="24"/>
          <w:szCs w:val="24"/>
        </w:rPr>
        <w:t xml:space="preserve"> </w:t>
      </w:r>
      <w:r w:rsidR="00826D62" w:rsidRPr="00F37FDE">
        <w:rPr>
          <w:rFonts w:ascii="Verdana" w:hAnsi="Verdana" w:cs="Arial"/>
          <w:sz w:val="24"/>
          <w:szCs w:val="24"/>
        </w:rPr>
        <w:t>against</w:t>
      </w:r>
      <w:r w:rsidR="00B56C37">
        <w:rPr>
          <w:rFonts w:ascii="Verdana" w:hAnsi="Verdana" w:cs="Arial"/>
          <w:sz w:val="24"/>
          <w:szCs w:val="24"/>
        </w:rPr>
        <w:t xml:space="preserve"> </w:t>
      </w:r>
      <w:r w:rsidR="000B3C63">
        <w:rPr>
          <w:rFonts w:ascii="Verdana" w:hAnsi="Verdana" w:cs="Arial"/>
          <w:sz w:val="24"/>
          <w:szCs w:val="24"/>
        </w:rPr>
        <w:t>6</w:t>
      </w:r>
      <w:r w:rsidR="00490937">
        <w:rPr>
          <w:rFonts w:ascii="Verdana" w:hAnsi="Verdana" w:cs="Arial"/>
          <w:sz w:val="24"/>
          <w:szCs w:val="24"/>
        </w:rPr>
        <w:t xml:space="preserve">% for the </w:t>
      </w:r>
      <w:r w:rsidR="00887B8D">
        <w:rPr>
          <w:rFonts w:ascii="Verdana" w:hAnsi="Verdana" w:cs="Arial"/>
          <w:sz w:val="24"/>
          <w:szCs w:val="24"/>
        </w:rPr>
        <w:t>borough</w:t>
      </w:r>
      <w:r w:rsidR="00490937">
        <w:rPr>
          <w:rFonts w:ascii="Verdana" w:hAnsi="Verdana" w:cs="Arial"/>
          <w:sz w:val="24"/>
          <w:szCs w:val="24"/>
        </w:rPr>
        <w:t xml:space="preserve">, </w:t>
      </w:r>
      <w:r w:rsidR="00881BC2">
        <w:rPr>
          <w:rFonts w:ascii="Verdana" w:hAnsi="Verdana" w:cs="Arial"/>
          <w:sz w:val="24"/>
          <w:szCs w:val="24"/>
        </w:rPr>
        <w:t>8</w:t>
      </w:r>
      <w:r w:rsidR="003C0BB8" w:rsidRPr="00F37FDE">
        <w:rPr>
          <w:rFonts w:ascii="Verdana" w:hAnsi="Verdana" w:cs="Arial"/>
          <w:sz w:val="24"/>
          <w:szCs w:val="24"/>
        </w:rPr>
        <w:t>% for the</w:t>
      </w:r>
      <w:r w:rsidR="003D1B6E" w:rsidRPr="00F37FDE">
        <w:rPr>
          <w:rFonts w:ascii="Verdana" w:hAnsi="Verdana" w:cs="Arial"/>
          <w:sz w:val="24"/>
          <w:szCs w:val="24"/>
        </w:rPr>
        <w:t xml:space="preserve"> </w:t>
      </w:r>
      <w:r w:rsidR="00826D62" w:rsidRPr="00F37FDE">
        <w:rPr>
          <w:rFonts w:ascii="Verdana" w:hAnsi="Verdana" w:cs="Arial"/>
          <w:sz w:val="24"/>
          <w:szCs w:val="24"/>
        </w:rPr>
        <w:t>region</w:t>
      </w:r>
      <w:r w:rsidR="003D1B6E" w:rsidRPr="00F37FDE">
        <w:rPr>
          <w:rFonts w:ascii="Verdana" w:hAnsi="Verdana" w:cs="Arial"/>
          <w:sz w:val="24"/>
          <w:szCs w:val="24"/>
        </w:rPr>
        <w:t xml:space="preserve"> </w:t>
      </w:r>
      <w:r w:rsidR="00826D62" w:rsidRPr="00F37FDE">
        <w:rPr>
          <w:rFonts w:ascii="Verdana" w:hAnsi="Verdana" w:cs="Arial"/>
          <w:sz w:val="24"/>
          <w:szCs w:val="24"/>
        </w:rPr>
        <w:t>and</w:t>
      </w:r>
      <w:r w:rsidR="003D1B6E" w:rsidRPr="00F37FDE">
        <w:rPr>
          <w:rFonts w:ascii="Verdana" w:hAnsi="Verdana" w:cs="Arial"/>
          <w:sz w:val="24"/>
          <w:szCs w:val="24"/>
        </w:rPr>
        <w:t xml:space="preserve"> </w:t>
      </w:r>
      <w:r w:rsidR="00881BC2">
        <w:rPr>
          <w:rFonts w:ascii="Verdana" w:hAnsi="Verdana" w:cs="Arial"/>
          <w:sz w:val="24"/>
          <w:szCs w:val="24"/>
        </w:rPr>
        <w:t>12</w:t>
      </w:r>
      <w:r w:rsidR="00826D62" w:rsidRPr="00F37FDE">
        <w:rPr>
          <w:rFonts w:ascii="Verdana" w:hAnsi="Verdana" w:cs="Arial"/>
          <w:sz w:val="24"/>
          <w:szCs w:val="24"/>
        </w:rPr>
        <w:t>%</w:t>
      </w:r>
      <w:r w:rsidR="003D1B6E" w:rsidRPr="00F37FDE">
        <w:rPr>
          <w:rFonts w:ascii="Verdana" w:hAnsi="Verdana" w:cs="Arial"/>
          <w:sz w:val="24"/>
          <w:szCs w:val="24"/>
        </w:rPr>
        <w:t xml:space="preserve"> </w:t>
      </w:r>
      <w:r w:rsidR="00FE75C3" w:rsidRPr="00F37FDE">
        <w:rPr>
          <w:rFonts w:ascii="Verdana" w:hAnsi="Verdana" w:cs="Arial"/>
          <w:sz w:val="24"/>
          <w:szCs w:val="24"/>
        </w:rPr>
        <w:t>for</w:t>
      </w:r>
      <w:r w:rsidR="003D1B6E" w:rsidRPr="00F37FDE">
        <w:rPr>
          <w:rFonts w:ascii="Verdana" w:hAnsi="Verdana" w:cs="Arial"/>
          <w:sz w:val="24"/>
          <w:szCs w:val="24"/>
        </w:rPr>
        <w:t xml:space="preserve"> </w:t>
      </w:r>
      <w:r w:rsidR="00FE75C3" w:rsidRPr="00F37FDE">
        <w:rPr>
          <w:rFonts w:ascii="Verdana" w:hAnsi="Verdana" w:cs="Arial"/>
          <w:sz w:val="24"/>
          <w:szCs w:val="24"/>
        </w:rPr>
        <w:t>England</w:t>
      </w:r>
      <w:r w:rsidR="003D1B6E" w:rsidRPr="00F37FDE">
        <w:rPr>
          <w:rFonts w:ascii="Verdana" w:hAnsi="Verdana" w:cs="Arial"/>
          <w:sz w:val="24"/>
          <w:szCs w:val="24"/>
        </w:rPr>
        <w:t xml:space="preserve"> </w:t>
      </w:r>
      <w:r w:rsidR="00FE75C3" w:rsidRPr="00F37FDE">
        <w:rPr>
          <w:rFonts w:ascii="Verdana" w:hAnsi="Verdana" w:cs="Arial"/>
          <w:sz w:val="24"/>
          <w:szCs w:val="24"/>
        </w:rPr>
        <w:t>as</w:t>
      </w:r>
      <w:r w:rsidR="003D1B6E" w:rsidRPr="00F37FDE">
        <w:rPr>
          <w:rFonts w:ascii="Verdana" w:hAnsi="Verdana" w:cs="Arial"/>
          <w:sz w:val="24"/>
          <w:szCs w:val="24"/>
        </w:rPr>
        <w:t xml:space="preserve"> </w:t>
      </w:r>
      <w:r w:rsidR="00FE75C3" w:rsidRPr="00F37FDE">
        <w:rPr>
          <w:rFonts w:ascii="Verdana" w:hAnsi="Verdana" w:cs="Arial"/>
          <w:sz w:val="24"/>
          <w:szCs w:val="24"/>
        </w:rPr>
        <w:t>a</w:t>
      </w:r>
      <w:r w:rsidR="003D1B6E" w:rsidRPr="00F37FDE">
        <w:rPr>
          <w:rFonts w:ascii="Verdana" w:hAnsi="Verdana" w:cs="Arial"/>
          <w:sz w:val="24"/>
          <w:szCs w:val="24"/>
        </w:rPr>
        <w:t xml:space="preserve"> </w:t>
      </w:r>
      <w:r w:rsidR="00FE75C3" w:rsidRPr="00F37FDE">
        <w:rPr>
          <w:rFonts w:ascii="Verdana" w:hAnsi="Verdana" w:cs="Arial"/>
          <w:sz w:val="24"/>
          <w:szCs w:val="24"/>
        </w:rPr>
        <w:t>whole.</w:t>
      </w:r>
    </w:p>
    <w:p w14:paraId="0CF10C86" w14:textId="77777777" w:rsidR="000F1E62" w:rsidRPr="00896C9F" w:rsidRDefault="000F1E62" w:rsidP="00896C9F">
      <w:pPr>
        <w:pStyle w:val="NoSpacing"/>
      </w:pPr>
    </w:p>
    <w:p w14:paraId="167A16F9" w14:textId="77777777" w:rsidR="009F403F" w:rsidRDefault="009F403F" w:rsidP="009F403F">
      <w:pPr>
        <w:pStyle w:val="Caption"/>
        <w:keepNext/>
        <w:spacing w:after="120"/>
        <w:jc w:val="center"/>
        <w:rPr>
          <w:rFonts w:ascii="Verdana" w:hAnsi="Verdana" w:cs="Arial"/>
          <w:b/>
          <w:sz w:val="22"/>
          <w:szCs w:val="24"/>
        </w:rPr>
      </w:pPr>
      <w:r>
        <w:rPr>
          <w:rFonts w:ascii="Verdana" w:hAnsi="Verdana" w:cs="Arial"/>
          <w:b/>
          <w:sz w:val="22"/>
          <w:szCs w:val="24"/>
        </w:rPr>
        <w:t xml:space="preserve">Table </w:t>
      </w:r>
      <w:r>
        <w:rPr>
          <w:rFonts w:ascii="Verdana" w:hAnsi="Verdana" w:cs="Arial"/>
          <w:b/>
          <w:sz w:val="22"/>
          <w:szCs w:val="24"/>
        </w:rPr>
        <w:fldChar w:fldCharType="begin"/>
      </w:r>
      <w:r>
        <w:rPr>
          <w:rFonts w:ascii="Verdana" w:hAnsi="Verdana" w:cs="Arial"/>
          <w:b/>
          <w:sz w:val="22"/>
          <w:szCs w:val="24"/>
        </w:rPr>
        <w:instrText xml:space="preserve"> SEQ Table \* ARABIC </w:instrText>
      </w:r>
      <w:r>
        <w:rPr>
          <w:rFonts w:ascii="Verdana" w:hAnsi="Verdana" w:cs="Arial"/>
          <w:b/>
          <w:sz w:val="22"/>
          <w:szCs w:val="24"/>
        </w:rPr>
        <w:fldChar w:fldCharType="separate"/>
      </w:r>
      <w:r w:rsidR="00CA4EB9">
        <w:rPr>
          <w:rFonts w:ascii="Verdana" w:hAnsi="Verdana" w:cs="Arial"/>
          <w:b/>
          <w:noProof/>
          <w:sz w:val="22"/>
          <w:szCs w:val="24"/>
        </w:rPr>
        <w:t>5</w:t>
      </w:r>
      <w:r>
        <w:rPr>
          <w:rFonts w:ascii="Verdana" w:hAnsi="Verdana" w:cs="Arial"/>
          <w:b/>
          <w:sz w:val="22"/>
          <w:szCs w:val="24"/>
        </w:rPr>
        <w:fldChar w:fldCharType="end"/>
      </w:r>
      <w:r>
        <w:rPr>
          <w:rFonts w:ascii="Verdana" w:hAnsi="Verdana" w:cs="Arial"/>
          <w:b/>
          <w:sz w:val="22"/>
          <w:szCs w:val="24"/>
        </w:rPr>
        <w:t xml:space="preserve"> Households by number of bedrooms, 2011</w:t>
      </w:r>
    </w:p>
    <w:tbl>
      <w:tblPr>
        <w:tblStyle w:val="TableGrid1"/>
        <w:tblW w:w="0" w:type="auto"/>
        <w:jc w:val="center"/>
        <w:tblInd w:w="0" w:type="dxa"/>
        <w:tblLayout w:type="fixed"/>
        <w:tblLook w:val="04A0" w:firstRow="1" w:lastRow="0" w:firstColumn="1" w:lastColumn="0" w:noHBand="0" w:noVBand="1"/>
      </w:tblPr>
      <w:tblGrid>
        <w:gridCol w:w="2316"/>
        <w:gridCol w:w="940"/>
        <w:gridCol w:w="1134"/>
        <w:gridCol w:w="1642"/>
        <w:gridCol w:w="1380"/>
        <w:gridCol w:w="1242"/>
      </w:tblGrid>
      <w:tr w:rsidR="009F403F" w14:paraId="25A4F4F8" w14:textId="77777777" w:rsidTr="009F403F">
        <w:trPr>
          <w:jc w:val="center"/>
        </w:trPr>
        <w:tc>
          <w:tcPr>
            <w:tcW w:w="23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CFFAF6" w14:textId="77777777" w:rsidR="009F403F" w:rsidRDefault="009F403F">
            <w:pPr>
              <w:jc w:val="center"/>
              <w:rPr>
                <w:rFonts w:ascii="Verdana" w:eastAsia="Times New Roman" w:hAnsi="Verdana" w:cs="Arial"/>
                <w:b/>
                <w:bCs/>
                <w:sz w:val="20"/>
                <w:szCs w:val="20"/>
                <w:lang w:eastAsia="en-GB"/>
              </w:rPr>
            </w:pPr>
            <w:r>
              <w:rPr>
                <w:rFonts w:ascii="Verdana" w:eastAsia="Times New Roman" w:hAnsi="Verdana" w:cs="Arial"/>
                <w:b/>
                <w:bCs/>
                <w:sz w:val="20"/>
                <w:szCs w:val="20"/>
                <w:lang w:eastAsia="en-GB"/>
              </w:rPr>
              <w:t>Bedrooms</w:t>
            </w:r>
          </w:p>
        </w:tc>
        <w:tc>
          <w:tcPr>
            <w:tcW w:w="207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DBAB87" w14:textId="77777777" w:rsidR="009F403F" w:rsidRDefault="00F64A4F">
            <w:pPr>
              <w:jc w:val="center"/>
              <w:rPr>
                <w:rFonts w:ascii="Verdana" w:eastAsia="Times New Roman" w:hAnsi="Verdana" w:cs="Arial"/>
                <w:b/>
                <w:bCs/>
                <w:sz w:val="20"/>
                <w:szCs w:val="20"/>
                <w:lang w:eastAsia="en-GB"/>
              </w:rPr>
            </w:pPr>
            <w:r>
              <w:rPr>
                <w:rFonts w:ascii="Verdana" w:eastAsia="Times New Roman" w:hAnsi="Verdana" w:cs="Arial"/>
                <w:b/>
                <w:bCs/>
                <w:sz w:val="20"/>
                <w:szCs w:val="20"/>
                <w:lang w:eastAsia="en-GB"/>
              </w:rPr>
              <w:t>Blackfordby</w:t>
            </w:r>
          </w:p>
        </w:tc>
        <w:tc>
          <w:tcPr>
            <w:tcW w:w="16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500CB2" w14:textId="77777777" w:rsidR="009F403F" w:rsidRDefault="00F64A4F">
            <w:pPr>
              <w:jc w:val="center"/>
              <w:rPr>
                <w:rFonts w:ascii="Verdana" w:eastAsia="Times New Roman" w:hAnsi="Verdana" w:cs="Arial"/>
                <w:b/>
                <w:color w:val="000000"/>
                <w:sz w:val="20"/>
                <w:szCs w:val="20"/>
                <w:lang w:eastAsia="en-GB"/>
              </w:rPr>
            </w:pPr>
            <w:r>
              <w:rPr>
                <w:rFonts w:ascii="Verdana" w:eastAsia="Times New Roman" w:hAnsi="Verdana" w:cs="Arial"/>
                <w:b/>
                <w:color w:val="000000"/>
                <w:sz w:val="20"/>
                <w:szCs w:val="20"/>
                <w:lang w:eastAsia="en-GB"/>
              </w:rPr>
              <w:t>NW Leics</w:t>
            </w:r>
          </w:p>
        </w:tc>
        <w:tc>
          <w:tcPr>
            <w:tcW w:w="13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03DA69" w14:textId="77777777" w:rsidR="009F403F" w:rsidRDefault="009F403F">
            <w:pPr>
              <w:jc w:val="center"/>
              <w:rPr>
                <w:rFonts w:ascii="Verdana" w:eastAsia="Times New Roman" w:hAnsi="Verdana" w:cs="Arial"/>
                <w:b/>
                <w:color w:val="000000"/>
                <w:sz w:val="20"/>
                <w:szCs w:val="20"/>
                <w:lang w:eastAsia="en-GB"/>
              </w:rPr>
            </w:pPr>
            <w:r>
              <w:rPr>
                <w:rFonts w:ascii="Verdana" w:eastAsia="Times New Roman" w:hAnsi="Verdana" w:cs="Arial"/>
                <w:b/>
                <w:color w:val="000000"/>
                <w:sz w:val="20"/>
                <w:szCs w:val="20"/>
                <w:lang w:eastAsia="en-GB"/>
              </w:rPr>
              <w:t>East Midlands</w:t>
            </w:r>
          </w:p>
        </w:tc>
        <w:tc>
          <w:tcPr>
            <w:tcW w:w="12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DECE80" w14:textId="77777777" w:rsidR="009F403F" w:rsidRDefault="009F403F">
            <w:pPr>
              <w:jc w:val="center"/>
              <w:rPr>
                <w:rFonts w:ascii="Verdana" w:eastAsia="Times New Roman" w:hAnsi="Verdana" w:cs="Arial"/>
                <w:b/>
                <w:bCs/>
                <w:sz w:val="20"/>
                <w:szCs w:val="20"/>
                <w:lang w:eastAsia="en-GB"/>
              </w:rPr>
            </w:pPr>
            <w:r>
              <w:rPr>
                <w:rFonts w:ascii="Verdana" w:eastAsia="Times New Roman" w:hAnsi="Verdana" w:cs="Arial"/>
                <w:b/>
                <w:bCs/>
                <w:sz w:val="20"/>
                <w:szCs w:val="20"/>
                <w:lang w:eastAsia="en-GB"/>
              </w:rPr>
              <w:t>England</w:t>
            </w:r>
          </w:p>
        </w:tc>
      </w:tr>
      <w:tr w:rsidR="00BF46DA" w14:paraId="78114251" w14:textId="77777777" w:rsidTr="00361D94">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44569A39" w14:textId="77777777" w:rsidR="00BF46DA" w:rsidRDefault="00BF46DA" w:rsidP="00BF46DA">
            <w:pPr>
              <w:rPr>
                <w:rFonts w:ascii="Verdana" w:hAnsi="Verdana" w:cs="Calibri"/>
                <w:color w:val="000000"/>
                <w:sz w:val="20"/>
                <w:szCs w:val="20"/>
              </w:rPr>
            </w:pPr>
            <w:r>
              <w:rPr>
                <w:rFonts w:ascii="Verdana" w:hAnsi="Verdana" w:cs="Calibri"/>
                <w:color w:val="000000"/>
                <w:sz w:val="12"/>
                <w:szCs w:val="20"/>
              </w:rPr>
              <w:t>All occupied Household Spaces</w:t>
            </w:r>
          </w:p>
        </w:tc>
        <w:tc>
          <w:tcPr>
            <w:tcW w:w="940" w:type="dxa"/>
            <w:tcBorders>
              <w:top w:val="single" w:sz="4" w:space="0" w:color="auto"/>
              <w:left w:val="single" w:sz="4" w:space="0" w:color="auto"/>
              <w:bottom w:val="single" w:sz="4" w:space="0" w:color="auto"/>
              <w:right w:val="single" w:sz="4" w:space="0" w:color="auto"/>
            </w:tcBorders>
            <w:noWrap/>
            <w:vAlign w:val="center"/>
          </w:tcPr>
          <w:p w14:paraId="4967452A"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650</w:t>
            </w:r>
          </w:p>
        </w:tc>
        <w:tc>
          <w:tcPr>
            <w:tcW w:w="1134" w:type="dxa"/>
            <w:tcBorders>
              <w:top w:val="single" w:sz="4" w:space="0" w:color="auto"/>
              <w:left w:val="single" w:sz="4" w:space="0" w:color="auto"/>
              <w:bottom w:val="single" w:sz="4" w:space="0" w:color="auto"/>
              <w:right w:val="single" w:sz="4" w:space="0" w:color="auto"/>
            </w:tcBorders>
            <w:noWrap/>
            <w:vAlign w:val="center"/>
          </w:tcPr>
          <w:p w14:paraId="19D5288A"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100.0</w:t>
            </w:r>
          </w:p>
        </w:tc>
        <w:tc>
          <w:tcPr>
            <w:tcW w:w="1642" w:type="dxa"/>
            <w:tcBorders>
              <w:top w:val="single" w:sz="4" w:space="0" w:color="auto"/>
              <w:left w:val="single" w:sz="4" w:space="0" w:color="auto"/>
              <w:bottom w:val="single" w:sz="4" w:space="0" w:color="auto"/>
              <w:right w:val="single" w:sz="4" w:space="0" w:color="auto"/>
            </w:tcBorders>
            <w:noWrap/>
            <w:vAlign w:val="center"/>
          </w:tcPr>
          <w:p w14:paraId="2180E62A" w14:textId="77777777" w:rsidR="00BF46DA" w:rsidRPr="00BF46DA" w:rsidRDefault="00BF46DA" w:rsidP="00361D94">
            <w:pPr>
              <w:tabs>
                <w:tab w:val="decimal" w:pos="707"/>
              </w:tabs>
              <w:rPr>
                <w:rFonts w:ascii="Verdana" w:hAnsi="Verdana" w:cs="Calibri"/>
                <w:color w:val="000000"/>
                <w:sz w:val="20"/>
                <w:szCs w:val="20"/>
              </w:rPr>
            </w:pPr>
            <w:r w:rsidRPr="00BF46DA">
              <w:rPr>
                <w:rFonts w:ascii="Verdana" w:hAnsi="Verdana" w:cs="Calibri"/>
                <w:color w:val="000000"/>
                <w:sz w:val="20"/>
                <w:szCs w:val="20"/>
              </w:rPr>
              <w:t>100.0</w:t>
            </w:r>
          </w:p>
        </w:tc>
        <w:tc>
          <w:tcPr>
            <w:tcW w:w="1380" w:type="dxa"/>
            <w:tcBorders>
              <w:top w:val="single" w:sz="4" w:space="0" w:color="auto"/>
              <w:left w:val="single" w:sz="4" w:space="0" w:color="auto"/>
              <w:bottom w:val="single" w:sz="4" w:space="0" w:color="auto"/>
              <w:right w:val="single" w:sz="4" w:space="0" w:color="auto"/>
            </w:tcBorders>
            <w:noWrap/>
            <w:vAlign w:val="center"/>
          </w:tcPr>
          <w:p w14:paraId="690A9D4A"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100.0</w:t>
            </w:r>
          </w:p>
        </w:tc>
        <w:tc>
          <w:tcPr>
            <w:tcW w:w="1242" w:type="dxa"/>
            <w:tcBorders>
              <w:top w:val="single" w:sz="4" w:space="0" w:color="auto"/>
              <w:left w:val="single" w:sz="4" w:space="0" w:color="auto"/>
              <w:bottom w:val="single" w:sz="4" w:space="0" w:color="auto"/>
              <w:right w:val="single" w:sz="4" w:space="0" w:color="auto"/>
            </w:tcBorders>
            <w:noWrap/>
            <w:vAlign w:val="center"/>
          </w:tcPr>
          <w:p w14:paraId="57411D63"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100.0</w:t>
            </w:r>
          </w:p>
        </w:tc>
      </w:tr>
      <w:tr w:rsidR="00BF46DA" w14:paraId="6E0E7472" w14:textId="77777777" w:rsidTr="00361D94">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492A1815" w14:textId="77777777" w:rsidR="00BF46DA" w:rsidRDefault="00BF46DA" w:rsidP="00BF46DA">
            <w:pPr>
              <w:rPr>
                <w:rFonts w:ascii="Verdana" w:hAnsi="Verdana" w:cs="Calibri"/>
                <w:color w:val="000000"/>
                <w:sz w:val="20"/>
                <w:szCs w:val="20"/>
              </w:rPr>
            </w:pPr>
            <w:r>
              <w:rPr>
                <w:rFonts w:ascii="Verdana" w:hAnsi="Verdana" w:cs="Calibri"/>
                <w:color w:val="000000"/>
                <w:sz w:val="20"/>
                <w:szCs w:val="20"/>
              </w:rPr>
              <w:t>No Bedrooms</w:t>
            </w:r>
          </w:p>
        </w:tc>
        <w:tc>
          <w:tcPr>
            <w:tcW w:w="940" w:type="dxa"/>
            <w:tcBorders>
              <w:top w:val="single" w:sz="4" w:space="0" w:color="auto"/>
              <w:left w:val="single" w:sz="4" w:space="0" w:color="auto"/>
              <w:bottom w:val="single" w:sz="4" w:space="0" w:color="auto"/>
              <w:right w:val="single" w:sz="4" w:space="0" w:color="auto"/>
            </w:tcBorders>
            <w:noWrap/>
            <w:vAlign w:val="center"/>
          </w:tcPr>
          <w:p w14:paraId="6EEAC4CD"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F8CF13F"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0.0</w:t>
            </w:r>
          </w:p>
        </w:tc>
        <w:tc>
          <w:tcPr>
            <w:tcW w:w="1642" w:type="dxa"/>
            <w:tcBorders>
              <w:top w:val="single" w:sz="4" w:space="0" w:color="auto"/>
              <w:left w:val="single" w:sz="4" w:space="0" w:color="auto"/>
              <w:bottom w:val="single" w:sz="4" w:space="0" w:color="auto"/>
              <w:right w:val="single" w:sz="4" w:space="0" w:color="auto"/>
            </w:tcBorders>
            <w:noWrap/>
            <w:vAlign w:val="center"/>
          </w:tcPr>
          <w:p w14:paraId="1D0FD2A2" w14:textId="77777777" w:rsidR="00BF46DA" w:rsidRPr="00BF46DA" w:rsidRDefault="00BF46DA" w:rsidP="00361D94">
            <w:pPr>
              <w:tabs>
                <w:tab w:val="decimal" w:pos="707"/>
              </w:tabs>
              <w:rPr>
                <w:rFonts w:ascii="Verdana" w:hAnsi="Verdana" w:cs="Calibri"/>
                <w:color w:val="000000"/>
                <w:sz w:val="20"/>
                <w:szCs w:val="20"/>
              </w:rPr>
            </w:pPr>
            <w:r w:rsidRPr="00BF46DA">
              <w:rPr>
                <w:rFonts w:ascii="Verdana" w:hAnsi="Verdana" w:cs="Calibri"/>
                <w:color w:val="000000"/>
                <w:sz w:val="20"/>
                <w:szCs w:val="20"/>
              </w:rPr>
              <w:t>0.2</w:t>
            </w:r>
          </w:p>
        </w:tc>
        <w:tc>
          <w:tcPr>
            <w:tcW w:w="1380" w:type="dxa"/>
            <w:tcBorders>
              <w:top w:val="single" w:sz="4" w:space="0" w:color="auto"/>
              <w:left w:val="single" w:sz="4" w:space="0" w:color="auto"/>
              <w:bottom w:val="single" w:sz="4" w:space="0" w:color="auto"/>
              <w:right w:val="single" w:sz="4" w:space="0" w:color="auto"/>
            </w:tcBorders>
            <w:noWrap/>
            <w:vAlign w:val="center"/>
          </w:tcPr>
          <w:p w14:paraId="0310550A"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0.2</w:t>
            </w:r>
          </w:p>
        </w:tc>
        <w:tc>
          <w:tcPr>
            <w:tcW w:w="1242" w:type="dxa"/>
            <w:tcBorders>
              <w:top w:val="single" w:sz="4" w:space="0" w:color="auto"/>
              <w:left w:val="single" w:sz="4" w:space="0" w:color="auto"/>
              <w:bottom w:val="single" w:sz="4" w:space="0" w:color="auto"/>
              <w:right w:val="single" w:sz="4" w:space="0" w:color="auto"/>
            </w:tcBorders>
            <w:noWrap/>
            <w:vAlign w:val="center"/>
          </w:tcPr>
          <w:p w14:paraId="249B1F5A"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0.2</w:t>
            </w:r>
          </w:p>
        </w:tc>
      </w:tr>
      <w:tr w:rsidR="00BF46DA" w14:paraId="1F63A4F1" w14:textId="77777777" w:rsidTr="00361D94">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3B962576" w14:textId="77777777" w:rsidR="00BF46DA" w:rsidRDefault="00BF46DA" w:rsidP="00BF46DA">
            <w:pPr>
              <w:rPr>
                <w:rFonts w:ascii="Verdana" w:hAnsi="Verdana" w:cs="Calibri"/>
                <w:color w:val="000000"/>
                <w:sz w:val="20"/>
                <w:szCs w:val="20"/>
              </w:rPr>
            </w:pPr>
            <w:r>
              <w:rPr>
                <w:rFonts w:ascii="Verdana" w:hAnsi="Verdana" w:cs="Calibri"/>
                <w:color w:val="000000"/>
                <w:sz w:val="20"/>
                <w:szCs w:val="20"/>
              </w:rPr>
              <w:t>1 Bedroom</w:t>
            </w:r>
          </w:p>
        </w:tc>
        <w:tc>
          <w:tcPr>
            <w:tcW w:w="940" w:type="dxa"/>
            <w:tcBorders>
              <w:top w:val="single" w:sz="4" w:space="0" w:color="auto"/>
              <w:left w:val="single" w:sz="4" w:space="0" w:color="auto"/>
              <w:bottom w:val="single" w:sz="4" w:space="0" w:color="auto"/>
              <w:right w:val="single" w:sz="4" w:space="0" w:color="auto"/>
            </w:tcBorders>
            <w:noWrap/>
            <w:vAlign w:val="center"/>
          </w:tcPr>
          <w:p w14:paraId="0A27F703"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17</w:t>
            </w:r>
          </w:p>
        </w:tc>
        <w:tc>
          <w:tcPr>
            <w:tcW w:w="1134" w:type="dxa"/>
            <w:tcBorders>
              <w:top w:val="single" w:sz="4" w:space="0" w:color="auto"/>
              <w:left w:val="single" w:sz="4" w:space="0" w:color="auto"/>
              <w:bottom w:val="single" w:sz="4" w:space="0" w:color="auto"/>
              <w:right w:val="single" w:sz="4" w:space="0" w:color="auto"/>
            </w:tcBorders>
            <w:noWrap/>
            <w:vAlign w:val="center"/>
          </w:tcPr>
          <w:p w14:paraId="3A3BEB15"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2.6</w:t>
            </w:r>
          </w:p>
        </w:tc>
        <w:tc>
          <w:tcPr>
            <w:tcW w:w="1642" w:type="dxa"/>
            <w:tcBorders>
              <w:top w:val="single" w:sz="4" w:space="0" w:color="auto"/>
              <w:left w:val="single" w:sz="4" w:space="0" w:color="auto"/>
              <w:bottom w:val="single" w:sz="4" w:space="0" w:color="auto"/>
              <w:right w:val="single" w:sz="4" w:space="0" w:color="auto"/>
            </w:tcBorders>
            <w:noWrap/>
            <w:vAlign w:val="center"/>
          </w:tcPr>
          <w:p w14:paraId="27B658ED" w14:textId="77777777" w:rsidR="00BF46DA" w:rsidRPr="00BF46DA" w:rsidRDefault="00BF46DA" w:rsidP="00361D94">
            <w:pPr>
              <w:tabs>
                <w:tab w:val="decimal" w:pos="707"/>
              </w:tabs>
              <w:rPr>
                <w:rFonts w:ascii="Verdana" w:hAnsi="Verdana" w:cs="Calibri"/>
                <w:color w:val="000000"/>
                <w:sz w:val="20"/>
                <w:szCs w:val="20"/>
              </w:rPr>
            </w:pPr>
            <w:r w:rsidRPr="00BF46DA">
              <w:rPr>
                <w:rFonts w:ascii="Verdana" w:hAnsi="Verdana" w:cs="Calibri"/>
                <w:color w:val="000000"/>
                <w:sz w:val="20"/>
                <w:szCs w:val="20"/>
              </w:rPr>
              <w:t>5.6</w:t>
            </w:r>
          </w:p>
        </w:tc>
        <w:tc>
          <w:tcPr>
            <w:tcW w:w="1380" w:type="dxa"/>
            <w:tcBorders>
              <w:top w:val="single" w:sz="4" w:space="0" w:color="auto"/>
              <w:left w:val="single" w:sz="4" w:space="0" w:color="auto"/>
              <w:bottom w:val="single" w:sz="4" w:space="0" w:color="auto"/>
              <w:right w:val="single" w:sz="4" w:space="0" w:color="auto"/>
            </w:tcBorders>
            <w:noWrap/>
            <w:vAlign w:val="center"/>
          </w:tcPr>
          <w:p w14:paraId="197E3CD7"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8.1</w:t>
            </w:r>
          </w:p>
        </w:tc>
        <w:tc>
          <w:tcPr>
            <w:tcW w:w="1242" w:type="dxa"/>
            <w:tcBorders>
              <w:top w:val="single" w:sz="4" w:space="0" w:color="auto"/>
              <w:left w:val="single" w:sz="4" w:space="0" w:color="auto"/>
              <w:bottom w:val="single" w:sz="4" w:space="0" w:color="auto"/>
              <w:right w:val="single" w:sz="4" w:space="0" w:color="auto"/>
            </w:tcBorders>
            <w:noWrap/>
            <w:vAlign w:val="center"/>
          </w:tcPr>
          <w:p w14:paraId="1AF0B530"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11.8</w:t>
            </w:r>
          </w:p>
        </w:tc>
      </w:tr>
      <w:tr w:rsidR="00BF46DA" w14:paraId="4C84379A" w14:textId="77777777" w:rsidTr="00361D94">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4CBB755C" w14:textId="77777777" w:rsidR="00BF46DA" w:rsidRDefault="00BF46DA" w:rsidP="00BF46DA">
            <w:pPr>
              <w:rPr>
                <w:rFonts w:ascii="Verdana" w:hAnsi="Verdana" w:cs="Calibri"/>
                <w:color w:val="000000"/>
                <w:sz w:val="20"/>
                <w:szCs w:val="20"/>
              </w:rPr>
            </w:pPr>
            <w:r>
              <w:rPr>
                <w:rFonts w:ascii="Verdana" w:hAnsi="Verdana" w:cs="Calibri"/>
                <w:color w:val="000000"/>
                <w:sz w:val="20"/>
                <w:szCs w:val="20"/>
              </w:rPr>
              <w:t>2 Bedrooms</w:t>
            </w:r>
          </w:p>
        </w:tc>
        <w:tc>
          <w:tcPr>
            <w:tcW w:w="940" w:type="dxa"/>
            <w:tcBorders>
              <w:top w:val="single" w:sz="4" w:space="0" w:color="auto"/>
              <w:left w:val="single" w:sz="4" w:space="0" w:color="auto"/>
              <w:bottom w:val="single" w:sz="4" w:space="0" w:color="auto"/>
              <w:right w:val="single" w:sz="4" w:space="0" w:color="auto"/>
            </w:tcBorders>
            <w:noWrap/>
            <w:vAlign w:val="center"/>
          </w:tcPr>
          <w:p w14:paraId="4E923305"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185</w:t>
            </w:r>
          </w:p>
        </w:tc>
        <w:tc>
          <w:tcPr>
            <w:tcW w:w="1134" w:type="dxa"/>
            <w:tcBorders>
              <w:top w:val="single" w:sz="4" w:space="0" w:color="auto"/>
              <w:left w:val="single" w:sz="4" w:space="0" w:color="auto"/>
              <w:bottom w:val="single" w:sz="4" w:space="0" w:color="auto"/>
              <w:right w:val="single" w:sz="4" w:space="0" w:color="auto"/>
            </w:tcBorders>
            <w:noWrap/>
            <w:vAlign w:val="center"/>
          </w:tcPr>
          <w:p w14:paraId="59BC3689"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28.5</w:t>
            </w:r>
          </w:p>
        </w:tc>
        <w:tc>
          <w:tcPr>
            <w:tcW w:w="1642" w:type="dxa"/>
            <w:tcBorders>
              <w:top w:val="single" w:sz="4" w:space="0" w:color="auto"/>
              <w:left w:val="single" w:sz="4" w:space="0" w:color="auto"/>
              <w:bottom w:val="single" w:sz="4" w:space="0" w:color="auto"/>
              <w:right w:val="single" w:sz="4" w:space="0" w:color="auto"/>
            </w:tcBorders>
            <w:noWrap/>
            <w:vAlign w:val="center"/>
          </w:tcPr>
          <w:p w14:paraId="2484F8F1" w14:textId="77777777" w:rsidR="00BF46DA" w:rsidRPr="00BF46DA" w:rsidRDefault="00BF46DA" w:rsidP="00361D94">
            <w:pPr>
              <w:tabs>
                <w:tab w:val="decimal" w:pos="707"/>
              </w:tabs>
              <w:rPr>
                <w:rFonts w:ascii="Verdana" w:hAnsi="Verdana" w:cs="Calibri"/>
                <w:color w:val="000000"/>
                <w:sz w:val="20"/>
                <w:szCs w:val="20"/>
              </w:rPr>
            </w:pPr>
            <w:r w:rsidRPr="00BF46DA">
              <w:rPr>
                <w:rFonts w:ascii="Verdana" w:hAnsi="Verdana" w:cs="Calibri"/>
                <w:color w:val="000000"/>
                <w:sz w:val="20"/>
                <w:szCs w:val="20"/>
              </w:rPr>
              <w:t>23.3</w:t>
            </w:r>
          </w:p>
        </w:tc>
        <w:tc>
          <w:tcPr>
            <w:tcW w:w="1380" w:type="dxa"/>
            <w:tcBorders>
              <w:top w:val="single" w:sz="4" w:space="0" w:color="auto"/>
              <w:left w:val="single" w:sz="4" w:space="0" w:color="auto"/>
              <w:bottom w:val="single" w:sz="4" w:space="0" w:color="auto"/>
              <w:right w:val="single" w:sz="4" w:space="0" w:color="auto"/>
            </w:tcBorders>
            <w:noWrap/>
            <w:vAlign w:val="center"/>
          </w:tcPr>
          <w:p w14:paraId="1C4F00DB"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26.5</w:t>
            </w:r>
          </w:p>
        </w:tc>
        <w:tc>
          <w:tcPr>
            <w:tcW w:w="1242" w:type="dxa"/>
            <w:tcBorders>
              <w:top w:val="single" w:sz="4" w:space="0" w:color="auto"/>
              <w:left w:val="single" w:sz="4" w:space="0" w:color="auto"/>
              <w:bottom w:val="single" w:sz="4" w:space="0" w:color="auto"/>
              <w:right w:val="single" w:sz="4" w:space="0" w:color="auto"/>
            </w:tcBorders>
            <w:noWrap/>
            <w:vAlign w:val="center"/>
          </w:tcPr>
          <w:p w14:paraId="1DE09A17"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27.9</w:t>
            </w:r>
          </w:p>
        </w:tc>
      </w:tr>
      <w:tr w:rsidR="00BF46DA" w14:paraId="3D974446" w14:textId="77777777" w:rsidTr="00361D94">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0755E138" w14:textId="77777777" w:rsidR="00BF46DA" w:rsidRDefault="00BF46DA" w:rsidP="00BF46DA">
            <w:pPr>
              <w:rPr>
                <w:rFonts w:ascii="Verdana" w:hAnsi="Verdana" w:cs="Calibri"/>
                <w:color w:val="000000"/>
                <w:sz w:val="20"/>
                <w:szCs w:val="20"/>
              </w:rPr>
            </w:pPr>
            <w:r>
              <w:rPr>
                <w:rFonts w:ascii="Verdana" w:hAnsi="Verdana" w:cs="Calibri"/>
                <w:color w:val="000000"/>
                <w:sz w:val="20"/>
                <w:szCs w:val="20"/>
              </w:rPr>
              <w:t>3 Bedrooms</w:t>
            </w:r>
          </w:p>
        </w:tc>
        <w:tc>
          <w:tcPr>
            <w:tcW w:w="940" w:type="dxa"/>
            <w:tcBorders>
              <w:top w:val="single" w:sz="4" w:space="0" w:color="auto"/>
              <w:left w:val="single" w:sz="4" w:space="0" w:color="auto"/>
              <w:bottom w:val="single" w:sz="4" w:space="0" w:color="auto"/>
              <w:right w:val="single" w:sz="4" w:space="0" w:color="auto"/>
            </w:tcBorders>
            <w:noWrap/>
            <w:vAlign w:val="center"/>
          </w:tcPr>
          <w:p w14:paraId="04ADE5C2"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319</w:t>
            </w:r>
          </w:p>
        </w:tc>
        <w:tc>
          <w:tcPr>
            <w:tcW w:w="1134" w:type="dxa"/>
            <w:tcBorders>
              <w:top w:val="single" w:sz="4" w:space="0" w:color="auto"/>
              <w:left w:val="single" w:sz="4" w:space="0" w:color="auto"/>
              <w:bottom w:val="single" w:sz="4" w:space="0" w:color="auto"/>
              <w:right w:val="single" w:sz="4" w:space="0" w:color="auto"/>
            </w:tcBorders>
            <w:noWrap/>
            <w:vAlign w:val="center"/>
          </w:tcPr>
          <w:p w14:paraId="1E53F0BC"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49.1</w:t>
            </w:r>
          </w:p>
        </w:tc>
        <w:tc>
          <w:tcPr>
            <w:tcW w:w="1642" w:type="dxa"/>
            <w:tcBorders>
              <w:top w:val="single" w:sz="4" w:space="0" w:color="auto"/>
              <w:left w:val="single" w:sz="4" w:space="0" w:color="auto"/>
              <w:bottom w:val="single" w:sz="4" w:space="0" w:color="auto"/>
              <w:right w:val="single" w:sz="4" w:space="0" w:color="auto"/>
            </w:tcBorders>
            <w:noWrap/>
            <w:vAlign w:val="center"/>
          </w:tcPr>
          <w:p w14:paraId="15472B0D" w14:textId="77777777" w:rsidR="00BF46DA" w:rsidRPr="00BF46DA" w:rsidRDefault="00BF46DA" w:rsidP="00361D94">
            <w:pPr>
              <w:tabs>
                <w:tab w:val="decimal" w:pos="707"/>
              </w:tabs>
              <w:rPr>
                <w:rFonts w:ascii="Verdana" w:hAnsi="Verdana" w:cs="Calibri"/>
                <w:color w:val="000000"/>
                <w:sz w:val="20"/>
                <w:szCs w:val="20"/>
              </w:rPr>
            </w:pPr>
            <w:r w:rsidRPr="00BF46DA">
              <w:rPr>
                <w:rFonts w:ascii="Verdana" w:hAnsi="Verdana" w:cs="Calibri"/>
                <w:color w:val="000000"/>
                <w:sz w:val="20"/>
                <w:szCs w:val="20"/>
              </w:rPr>
              <w:t>47.4</w:t>
            </w:r>
          </w:p>
        </w:tc>
        <w:tc>
          <w:tcPr>
            <w:tcW w:w="1380" w:type="dxa"/>
            <w:tcBorders>
              <w:top w:val="single" w:sz="4" w:space="0" w:color="auto"/>
              <w:left w:val="single" w:sz="4" w:space="0" w:color="auto"/>
              <w:bottom w:val="single" w:sz="4" w:space="0" w:color="auto"/>
              <w:right w:val="single" w:sz="4" w:space="0" w:color="auto"/>
            </w:tcBorders>
            <w:noWrap/>
            <w:vAlign w:val="center"/>
          </w:tcPr>
          <w:p w14:paraId="664B4186"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45.4</w:t>
            </w:r>
          </w:p>
        </w:tc>
        <w:tc>
          <w:tcPr>
            <w:tcW w:w="1242" w:type="dxa"/>
            <w:tcBorders>
              <w:top w:val="single" w:sz="4" w:space="0" w:color="auto"/>
              <w:left w:val="single" w:sz="4" w:space="0" w:color="auto"/>
              <w:bottom w:val="single" w:sz="4" w:space="0" w:color="auto"/>
              <w:right w:val="single" w:sz="4" w:space="0" w:color="auto"/>
            </w:tcBorders>
            <w:noWrap/>
            <w:vAlign w:val="center"/>
          </w:tcPr>
          <w:p w14:paraId="701DAD89"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41.2</w:t>
            </w:r>
          </w:p>
        </w:tc>
      </w:tr>
      <w:tr w:rsidR="00BF46DA" w14:paraId="1922C5CE" w14:textId="77777777" w:rsidTr="00361D94">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6F2313A8" w14:textId="77777777" w:rsidR="00BF46DA" w:rsidRDefault="00BF46DA" w:rsidP="00BF46DA">
            <w:pPr>
              <w:rPr>
                <w:rFonts w:ascii="Verdana" w:hAnsi="Verdana" w:cs="Calibri"/>
                <w:color w:val="000000"/>
                <w:sz w:val="20"/>
                <w:szCs w:val="20"/>
              </w:rPr>
            </w:pPr>
            <w:r>
              <w:rPr>
                <w:rFonts w:ascii="Verdana" w:hAnsi="Verdana" w:cs="Calibri"/>
                <w:color w:val="000000"/>
                <w:sz w:val="20"/>
                <w:szCs w:val="20"/>
              </w:rPr>
              <w:t>4 Bedrooms</w:t>
            </w:r>
          </w:p>
        </w:tc>
        <w:tc>
          <w:tcPr>
            <w:tcW w:w="940" w:type="dxa"/>
            <w:tcBorders>
              <w:top w:val="single" w:sz="4" w:space="0" w:color="auto"/>
              <w:left w:val="single" w:sz="4" w:space="0" w:color="auto"/>
              <w:bottom w:val="single" w:sz="4" w:space="0" w:color="auto"/>
              <w:right w:val="single" w:sz="4" w:space="0" w:color="auto"/>
            </w:tcBorders>
            <w:noWrap/>
            <w:vAlign w:val="center"/>
          </w:tcPr>
          <w:p w14:paraId="2FB61941"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105</w:t>
            </w:r>
          </w:p>
        </w:tc>
        <w:tc>
          <w:tcPr>
            <w:tcW w:w="1134" w:type="dxa"/>
            <w:tcBorders>
              <w:top w:val="single" w:sz="4" w:space="0" w:color="auto"/>
              <w:left w:val="single" w:sz="4" w:space="0" w:color="auto"/>
              <w:bottom w:val="single" w:sz="4" w:space="0" w:color="auto"/>
              <w:right w:val="single" w:sz="4" w:space="0" w:color="auto"/>
            </w:tcBorders>
            <w:noWrap/>
            <w:vAlign w:val="center"/>
          </w:tcPr>
          <w:p w14:paraId="77F3AAF3"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16.2</w:t>
            </w:r>
          </w:p>
        </w:tc>
        <w:tc>
          <w:tcPr>
            <w:tcW w:w="1642" w:type="dxa"/>
            <w:tcBorders>
              <w:top w:val="single" w:sz="4" w:space="0" w:color="auto"/>
              <w:left w:val="single" w:sz="4" w:space="0" w:color="auto"/>
              <w:bottom w:val="single" w:sz="4" w:space="0" w:color="auto"/>
              <w:right w:val="single" w:sz="4" w:space="0" w:color="auto"/>
            </w:tcBorders>
            <w:noWrap/>
            <w:vAlign w:val="center"/>
          </w:tcPr>
          <w:p w14:paraId="59F23266" w14:textId="77777777" w:rsidR="00BF46DA" w:rsidRPr="00BF46DA" w:rsidRDefault="00BF46DA" w:rsidP="00361D94">
            <w:pPr>
              <w:tabs>
                <w:tab w:val="decimal" w:pos="707"/>
              </w:tabs>
              <w:rPr>
                <w:rFonts w:ascii="Verdana" w:hAnsi="Verdana" w:cs="Calibri"/>
                <w:color w:val="000000"/>
                <w:sz w:val="20"/>
                <w:szCs w:val="20"/>
              </w:rPr>
            </w:pPr>
            <w:r w:rsidRPr="00BF46DA">
              <w:rPr>
                <w:rFonts w:ascii="Verdana" w:hAnsi="Verdana" w:cs="Calibri"/>
                <w:color w:val="000000"/>
                <w:sz w:val="20"/>
                <w:szCs w:val="20"/>
              </w:rPr>
              <w:t>19.0</w:t>
            </w:r>
          </w:p>
        </w:tc>
        <w:tc>
          <w:tcPr>
            <w:tcW w:w="1380" w:type="dxa"/>
            <w:tcBorders>
              <w:top w:val="single" w:sz="4" w:space="0" w:color="auto"/>
              <w:left w:val="single" w:sz="4" w:space="0" w:color="auto"/>
              <w:bottom w:val="single" w:sz="4" w:space="0" w:color="auto"/>
              <w:right w:val="single" w:sz="4" w:space="0" w:color="auto"/>
            </w:tcBorders>
            <w:noWrap/>
            <w:vAlign w:val="center"/>
          </w:tcPr>
          <w:p w14:paraId="3B84524A"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15.4</w:t>
            </w:r>
          </w:p>
        </w:tc>
        <w:tc>
          <w:tcPr>
            <w:tcW w:w="1242" w:type="dxa"/>
            <w:tcBorders>
              <w:top w:val="single" w:sz="4" w:space="0" w:color="auto"/>
              <w:left w:val="single" w:sz="4" w:space="0" w:color="auto"/>
              <w:bottom w:val="single" w:sz="4" w:space="0" w:color="auto"/>
              <w:right w:val="single" w:sz="4" w:space="0" w:color="auto"/>
            </w:tcBorders>
            <w:noWrap/>
            <w:vAlign w:val="center"/>
          </w:tcPr>
          <w:p w14:paraId="5E55B58D"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14.4</w:t>
            </w:r>
          </w:p>
        </w:tc>
      </w:tr>
      <w:tr w:rsidR="00BF46DA" w14:paraId="57C85AB8" w14:textId="77777777" w:rsidTr="00361D94">
        <w:trPr>
          <w:jc w:val="center"/>
        </w:trPr>
        <w:tc>
          <w:tcPr>
            <w:tcW w:w="2316" w:type="dxa"/>
            <w:tcBorders>
              <w:top w:val="single" w:sz="4" w:space="0" w:color="auto"/>
              <w:left w:val="single" w:sz="4" w:space="0" w:color="auto"/>
              <w:bottom w:val="single" w:sz="4" w:space="0" w:color="auto"/>
              <w:right w:val="single" w:sz="4" w:space="0" w:color="auto"/>
            </w:tcBorders>
            <w:noWrap/>
            <w:vAlign w:val="center"/>
            <w:hideMark/>
          </w:tcPr>
          <w:p w14:paraId="660B32AC" w14:textId="77777777" w:rsidR="00BF46DA" w:rsidRDefault="00BF46DA" w:rsidP="00BF46DA">
            <w:pPr>
              <w:rPr>
                <w:rFonts w:ascii="Verdana" w:hAnsi="Verdana" w:cs="Calibri"/>
                <w:color w:val="000000"/>
                <w:sz w:val="20"/>
                <w:szCs w:val="20"/>
              </w:rPr>
            </w:pPr>
            <w:r>
              <w:rPr>
                <w:rFonts w:ascii="Verdana" w:hAnsi="Verdana" w:cs="Calibri"/>
                <w:color w:val="000000"/>
                <w:sz w:val="20"/>
                <w:szCs w:val="20"/>
              </w:rPr>
              <w:t>5 or More Bedrooms</w:t>
            </w:r>
          </w:p>
        </w:tc>
        <w:tc>
          <w:tcPr>
            <w:tcW w:w="940" w:type="dxa"/>
            <w:tcBorders>
              <w:top w:val="single" w:sz="4" w:space="0" w:color="auto"/>
              <w:left w:val="single" w:sz="4" w:space="0" w:color="auto"/>
              <w:bottom w:val="single" w:sz="4" w:space="0" w:color="auto"/>
              <w:right w:val="single" w:sz="4" w:space="0" w:color="auto"/>
            </w:tcBorders>
            <w:noWrap/>
            <w:vAlign w:val="center"/>
          </w:tcPr>
          <w:p w14:paraId="56A3CB39"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noWrap/>
            <w:vAlign w:val="center"/>
          </w:tcPr>
          <w:p w14:paraId="64B82245" w14:textId="77777777" w:rsidR="00BF46DA" w:rsidRPr="00BF46DA" w:rsidRDefault="00BF46DA" w:rsidP="00361D94">
            <w:pPr>
              <w:tabs>
                <w:tab w:val="decimal" w:pos="456"/>
              </w:tabs>
              <w:rPr>
                <w:rFonts w:ascii="Verdana" w:hAnsi="Verdana" w:cs="Calibri"/>
                <w:color w:val="000000"/>
                <w:sz w:val="20"/>
                <w:szCs w:val="20"/>
              </w:rPr>
            </w:pPr>
            <w:r w:rsidRPr="00BF46DA">
              <w:rPr>
                <w:rFonts w:ascii="Verdana" w:hAnsi="Verdana" w:cs="Calibri"/>
                <w:color w:val="000000"/>
                <w:sz w:val="20"/>
                <w:szCs w:val="20"/>
              </w:rPr>
              <w:t>3.7</w:t>
            </w:r>
          </w:p>
        </w:tc>
        <w:tc>
          <w:tcPr>
            <w:tcW w:w="1642" w:type="dxa"/>
            <w:tcBorders>
              <w:top w:val="single" w:sz="4" w:space="0" w:color="auto"/>
              <w:left w:val="single" w:sz="4" w:space="0" w:color="auto"/>
              <w:bottom w:val="single" w:sz="4" w:space="0" w:color="auto"/>
              <w:right w:val="single" w:sz="4" w:space="0" w:color="auto"/>
            </w:tcBorders>
            <w:noWrap/>
            <w:vAlign w:val="center"/>
          </w:tcPr>
          <w:p w14:paraId="0707A5BC" w14:textId="77777777" w:rsidR="00BF46DA" w:rsidRPr="00BF46DA" w:rsidRDefault="00BF46DA" w:rsidP="00361D94">
            <w:pPr>
              <w:tabs>
                <w:tab w:val="decimal" w:pos="707"/>
              </w:tabs>
              <w:rPr>
                <w:rFonts w:ascii="Verdana" w:hAnsi="Verdana" w:cs="Calibri"/>
                <w:color w:val="000000"/>
                <w:sz w:val="20"/>
                <w:szCs w:val="20"/>
              </w:rPr>
            </w:pPr>
            <w:r w:rsidRPr="00BF46DA">
              <w:rPr>
                <w:rFonts w:ascii="Verdana" w:hAnsi="Verdana" w:cs="Calibri"/>
                <w:color w:val="000000"/>
                <w:sz w:val="20"/>
                <w:szCs w:val="20"/>
              </w:rPr>
              <w:t>4.5</w:t>
            </w:r>
          </w:p>
        </w:tc>
        <w:tc>
          <w:tcPr>
            <w:tcW w:w="1380" w:type="dxa"/>
            <w:tcBorders>
              <w:top w:val="single" w:sz="4" w:space="0" w:color="auto"/>
              <w:left w:val="single" w:sz="4" w:space="0" w:color="auto"/>
              <w:bottom w:val="single" w:sz="4" w:space="0" w:color="auto"/>
              <w:right w:val="single" w:sz="4" w:space="0" w:color="auto"/>
            </w:tcBorders>
            <w:noWrap/>
            <w:vAlign w:val="center"/>
          </w:tcPr>
          <w:p w14:paraId="4B6DC9A7"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4.4</w:t>
            </w:r>
          </w:p>
        </w:tc>
        <w:tc>
          <w:tcPr>
            <w:tcW w:w="1242" w:type="dxa"/>
            <w:tcBorders>
              <w:top w:val="single" w:sz="4" w:space="0" w:color="auto"/>
              <w:left w:val="single" w:sz="4" w:space="0" w:color="auto"/>
              <w:bottom w:val="single" w:sz="4" w:space="0" w:color="auto"/>
              <w:right w:val="single" w:sz="4" w:space="0" w:color="auto"/>
            </w:tcBorders>
            <w:noWrap/>
            <w:vAlign w:val="center"/>
          </w:tcPr>
          <w:p w14:paraId="4DDDF9E3" w14:textId="77777777" w:rsidR="00BF46DA" w:rsidRPr="009F403F" w:rsidRDefault="00BF46DA" w:rsidP="00BF46DA">
            <w:pPr>
              <w:tabs>
                <w:tab w:val="decimal" w:pos="503"/>
              </w:tabs>
              <w:rPr>
                <w:rFonts w:ascii="Verdana" w:hAnsi="Verdana" w:cs="Calibri"/>
                <w:color w:val="000000"/>
                <w:sz w:val="20"/>
                <w:szCs w:val="20"/>
              </w:rPr>
            </w:pPr>
            <w:r w:rsidRPr="009F403F">
              <w:rPr>
                <w:rFonts w:ascii="Verdana" w:hAnsi="Verdana" w:cs="Calibri"/>
                <w:color w:val="000000"/>
                <w:sz w:val="20"/>
                <w:szCs w:val="20"/>
              </w:rPr>
              <w:t>4.6</w:t>
            </w:r>
          </w:p>
        </w:tc>
      </w:tr>
    </w:tbl>
    <w:p w14:paraId="3C4D3C34" w14:textId="77777777" w:rsidR="009F403F" w:rsidRDefault="009F403F" w:rsidP="009F403F">
      <w:pPr>
        <w:pStyle w:val="NoSpacing"/>
        <w:jc w:val="center"/>
        <w:rPr>
          <w:rFonts w:ascii="Verdana" w:hAnsi="Verdana" w:cs="Arial"/>
          <w:i/>
          <w:sz w:val="20"/>
          <w:szCs w:val="24"/>
        </w:rPr>
      </w:pPr>
      <w:bookmarkStart w:id="2" w:name="OLE_LINK1"/>
      <w:bookmarkStart w:id="3" w:name="OLE_LINK2"/>
      <w:r>
        <w:rPr>
          <w:rFonts w:ascii="Verdana" w:hAnsi="Verdana" w:cs="Arial"/>
          <w:i/>
          <w:sz w:val="20"/>
          <w:szCs w:val="24"/>
        </w:rPr>
        <w:t>Source: Census 2011, LC4405EW</w:t>
      </w:r>
      <w:bookmarkEnd w:id="2"/>
      <w:bookmarkEnd w:id="3"/>
    </w:p>
    <w:p w14:paraId="7A0B7E4A" w14:textId="77777777" w:rsidR="00780F9E" w:rsidRPr="00E40311" w:rsidRDefault="00780F9E" w:rsidP="008B5A87">
      <w:pPr>
        <w:pStyle w:val="NoSpacing"/>
        <w:jc w:val="both"/>
        <w:rPr>
          <w:rFonts w:ascii="Verdana" w:hAnsi="Verdana" w:cs="Arial"/>
          <w:sz w:val="20"/>
          <w:szCs w:val="24"/>
        </w:rPr>
      </w:pPr>
    </w:p>
    <w:p w14:paraId="25F8D033" w14:textId="77777777" w:rsidR="00F455D9" w:rsidRDefault="008C4C79" w:rsidP="008B5A87">
      <w:pPr>
        <w:pStyle w:val="NoSpacing"/>
        <w:jc w:val="both"/>
        <w:rPr>
          <w:rFonts w:ascii="Verdana" w:hAnsi="Verdana" w:cs="Arial"/>
          <w:sz w:val="24"/>
          <w:szCs w:val="24"/>
        </w:rPr>
      </w:pPr>
      <w:r w:rsidRPr="00FF7A05">
        <w:rPr>
          <w:rFonts w:ascii="Verdana" w:hAnsi="Verdana" w:cs="Arial"/>
          <w:sz w:val="24"/>
          <w:szCs w:val="24"/>
        </w:rPr>
        <w:t>There</w:t>
      </w:r>
      <w:r w:rsidR="003D1B6E" w:rsidRPr="00FF7A05">
        <w:rPr>
          <w:rFonts w:ascii="Verdana" w:hAnsi="Verdana" w:cs="Arial"/>
          <w:sz w:val="24"/>
          <w:szCs w:val="24"/>
        </w:rPr>
        <w:t xml:space="preserve"> </w:t>
      </w:r>
      <w:r w:rsidRPr="00FF7A05">
        <w:rPr>
          <w:rFonts w:ascii="Verdana" w:hAnsi="Verdana" w:cs="Arial"/>
          <w:sz w:val="24"/>
          <w:szCs w:val="24"/>
        </w:rPr>
        <w:t>is</w:t>
      </w:r>
      <w:r w:rsidR="003D1B6E" w:rsidRPr="00FF7A05">
        <w:rPr>
          <w:rFonts w:ascii="Verdana" w:hAnsi="Verdana" w:cs="Arial"/>
          <w:sz w:val="24"/>
          <w:szCs w:val="24"/>
        </w:rPr>
        <w:t xml:space="preserve"> </w:t>
      </w:r>
      <w:r w:rsidRPr="00FF7A05">
        <w:rPr>
          <w:rFonts w:ascii="Verdana" w:hAnsi="Verdana" w:cs="Arial"/>
          <w:sz w:val="24"/>
          <w:szCs w:val="24"/>
        </w:rPr>
        <w:t>evidence</w:t>
      </w:r>
      <w:r w:rsidR="003D1B6E" w:rsidRPr="00FF7A05">
        <w:rPr>
          <w:rFonts w:ascii="Verdana" w:hAnsi="Verdana" w:cs="Arial"/>
          <w:sz w:val="24"/>
          <w:szCs w:val="24"/>
        </w:rPr>
        <w:t xml:space="preserve"> </w:t>
      </w:r>
      <w:r w:rsidRPr="00FF7A05">
        <w:rPr>
          <w:rFonts w:ascii="Verdana" w:hAnsi="Verdana" w:cs="Arial"/>
          <w:sz w:val="24"/>
          <w:szCs w:val="24"/>
        </w:rPr>
        <w:t>of</w:t>
      </w:r>
      <w:r w:rsidR="003D1B6E" w:rsidRPr="00FF7A05">
        <w:rPr>
          <w:rFonts w:ascii="Verdana" w:hAnsi="Verdana" w:cs="Arial"/>
          <w:sz w:val="24"/>
          <w:szCs w:val="24"/>
        </w:rPr>
        <w:t xml:space="preserve"> </w:t>
      </w:r>
      <w:r w:rsidRPr="00FF7A05">
        <w:rPr>
          <w:rFonts w:ascii="Verdana" w:hAnsi="Verdana" w:cs="Arial"/>
          <w:sz w:val="24"/>
          <w:szCs w:val="24"/>
        </w:rPr>
        <w:t>under</w:t>
      </w:r>
      <w:r w:rsidR="003D1B6E" w:rsidRPr="00FF7A05">
        <w:rPr>
          <w:rFonts w:ascii="Verdana" w:hAnsi="Verdana" w:cs="Arial"/>
          <w:sz w:val="24"/>
          <w:szCs w:val="24"/>
        </w:rPr>
        <w:t xml:space="preserve"> </w:t>
      </w:r>
      <w:r w:rsidRPr="00FF7A05">
        <w:rPr>
          <w:rFonts w:ascii="Verdana" w:hAnsi="Verdana" w:cs="Arial"/>
          <w:sz w:val="24"/>
          <w:szCs w:val="24"/>
        </w:rPr>
        <w:t>occupancy</w:t>
      </w:r>
      <w:r w:rsidR="00D05A05" w:rsidRPr="00FF7A05">
        <w:rPr>
          <w:rFonts w:ascii="Verdana" w:hAnsi="Verdana" w:cs="Arial"/>
          <w:sz w:val="24"/>
          <w:szCs w:val="24"/>
        </w:rPr>
        <w:t xml:space="preserve"> in the </w:t>
      </w:r>
      <w:r w:rsidR="00F64A4F" w:rsidRPr="00FF7A05">
        <w:rPr>
          <w:rFonts w:ascii="Verdana" w:hAnsi="Verdana" w:cs="Arial"/>
          <w:sz w:val="24"/>
          <w:szCs w:val="24"/>
        </w:rPr>
        <w:t>local area</w:t>
      </w:r>
      <w:r w:rsidR="003D1B6E" w:rsidRPr="00FF7A05">
        <w:rPr>
          <w:rFonts w:ascii="Verdana" w:hAnsi="Verdana" w:cs="Arial"/>
          <w:sz w:val="24"/>
          <w:szCs w:val="24"/>
        </w:rPr>
        <w:t xml:space="preserve"> </w:t>
      </w:r>
      <w:r w:rsidRPr="00FF7A05">
        <w:rPr>
          <w:rFonts w:ascii="Verdana" w:hAnsi="Verdana" w:cs="Arial"/>
          <w:sz w:val="24"/>
          <w:szCs w:val="24"/>
        </w:rPr>
        <w:t>(having</w:t>
      </w:r>
      <w:r w:rsidR="003D1B6E" w:rsidRPr="00FF7A05">
        <w:rPr>
          <w:rFonts w:ascii="Verdana" w:hAnsi="Verdana" w:cs="Arial"/>
          <w:sz w:val="24"/>
          <w:szCs w:val="24"/>
        </w:rPr>
        <w:t xml:space="preserve"> </w:t>
      </w:r>
      <w:r w:rsidRPr="00FF7A05">
        <w:rPr>
          <w:rFonts w:ascii="Verdana" w:hAnsi="Verdana" w:cs="Arial"/>
          <w:sz w:val="24"/>
          <w:szCs w:val="24"/>
        </w:rPr>
        <w:t>more</w:t>
      </w:r>
      <w:r w:rsidR="003D1B6E" w:rsidRPr="00FF7A05">
        <w:rPr>
          <w:rFonts w:ascii="Verdana" w:hAnsi="Verdana" w:cs="Arial"/>
          <w:sz w:val="24"/>
          <w:szCs w:val="24"/>
        </w:rPr>
        <w:t xml:space="preserve"> </w:t>
      </w:r>
      <w:r w:rsidRPr="00FF7A05">
        <w:rPr>
          <w:rFonts w:ascii="Verdana" w:hAnsi="Verdana" w:cs="Arial"/>
          <w:sz w:val="24"/>
          <w:szCs w:val="24"/>
        </w:rPr>
        <w:t>bedrooms</w:t>
      </w:r>
      <w:r w:rsidR="003D1B6E" w:rsidRPr="00FF7A05">
        <w:rPr>
          <w:rFonts w:ascii="Verdana" w:hAnsi="Verdana" w:cs="Arial"/>
          <w:sz w:val="24"/>
          <w:szCs w:val="24"/>
        </w:rPr>
        <w:t xml:space="preserve"> </w:t>
      </w:r>
      <w:r w:rsidRPr="00FF7A05">
        <w:rPr>
          <w:rFonts w:ascii="Verdana" w:hAnsi="Verdana" w:cs="Arial"/>
          <w:sz w:val="24"/>
          <w:szCs w:val="24"/>
        </w:rPr>
        <w:t>than</w:t>
      </w:r>
      <w:r w:rsidR="003D1B6E" w:rsidRPr="00FF7A05">
        <w:rPr>
          <w:rFonts w:ascii="Verdana" w:hAnsi="Verdana" w:cs="Arial"/>
          <w:sz w:val="24"/>
          <w:szCs w:val="24"/>
        </w:rPr>
        <w:t xml:space="preserve"> </w:t>
      </w:r>
      <w:r w:rsidRPr="00FF7A05">
        <w:rPr>
          <w:rFonts w:ascii="Verdana" w:hAnsi="Verdana" w:cs="Arial"/>
          <w:sz w:val="24"/>
          <w:szCs w:val="24"/>
        </w:rPr>
        <w:t>the</w:t>
      </w:r>
      <w:r w:rsidR="003D1B6E" w:rsidRPr="00FF7A05">
        <w:rPr>
          <w:rFonts w:ascii="Verdana" w:hAnsi="Verdana" w:cs="Arial"/>
          <w:sz w:val="24"/>
          <w:szCs w:val="24"/>
        </w:rPr>
        <w:t xml:space="preserve"> </w:t>
      </w:r>
      <w:r w:rsidRPr="00FF7A05">
        <w:rPr>
          <w:rFonts w:ascii="Verdana" w:hAnsi="Verdana" w:cs="Arial"/>
          <w:sz w:val="24"/>
          <w:szCs w:val="24"/>
        </w:rPr>
        <w:t>notional</w:t>
      </w:r>
      <w:r w:rsidR="003D1B6E" w:rsidRPr="00FF7A05">
        <w:rPr>
          <w:rFonts w:ascii="Verdana" w:hAnsi="Verdana" w:cs="Arial"/>
          <w:sz w:val="24"/>
          <w:szCs w:val="24"/>
        </w:rPr>
        <w:t xml:space="preserve"> </w:t>
      </w:r>
      <w:r w:rsidRPr="00FF7A05">
        <w:rPr>
          <w:rFonts w:ascii="Verdana" w:hAnsi="Verdana" w:cs="Arial"/>
          <w:sz w:val="24"/>
          <w:szCs w:val="24"/>
        </w:rPr>
        <w:t>number</w:t>
      </w:r>
      <w:r w:rsidR="003D1B6E" w:rsidRPr="00FF7A05">
        <w:rPr>
          <w:rFonts w:ascii="Verdana" w:hAnsi="Verdana" w:cs="Arial"/>
          <w:sz w:val="24"/>
          <w:szCs w:val="24"/>
        </w:rPr>
        <w:t xml:space="preserve"> </w:t>
      </w:r>
      <w:r w:rsidRPr="00FF7A05">
        <w:rPr>
          <w:rFonts w:ascii="Verdana" w:hAnsi="Verdana" w:cs="Arial"/>
          <w:sz w:val="24"/>
          <w:szCs w:val="24"/>
        </w:rPr>
        <w:t>recommended</w:t>
      </w:r>
      <w:r w:rsidR="003D1B6E" w:rsidRPr="00FF7A05">
        <w:rPr>
          <w:rFonts w:ascii="Verdana" w:hAnsi="Verdana" w:cs="Arial"/>
          <w:sz w:val="24"/>
          <w:szCs w:val="24"/>
        </w:rPr>
        <w:t xml:space="preserve"> </w:t>
      </w:r>
      <w:r w:rsidRPr="00FF7A05">
        <w:rPr>
          <w:rFonts w:ascii="Verdana" w:hAnsi="Verdana" w:cs="Arial"/>
          <w:sz w:val="24"/>
          <w:szCs w:val="24"/>
        </w:rPr>
        <w:t>by</w:t>
      </w:r>
      <w:r w:rsidR="003D1B6E" w:rsidRPr="00FF7A05">
        <w:rPr>
          <w:rFonts w:ascii="Verdana" w:hAnsi="Verdana" w:cs="Arial"/>
          <w:sz w:val="24"/>
          <w:szCs w:val="24"/>
        </w:rPr>
        <w:t xml:space="preserve"> </w:t>
      </w:r>
      <w:r w:rsidRPr="00FF7A05">
        <w:rPr>
          <w:rFonts w:ascii="Verdana" w:hAnsi="Verdana" w:cs="Arial"/>
          <w:sz w:val="24"/>
          <w:szCs w:val="24"/>
        </w:rPr>
        <w:t>the</w:t>
      </w:r>
      <w:r w:rsidR="003D1B6E" w:rsidRPr="00FF7A05">
        <w:rPr>
          <w:rFonts w:ascii="Verdana" w:hAnsi="Verdana" w:cs="Arial"/>
          <w:sz w:val="24"/>
          <w:szCs w:val="24"/>
        </w:rPr>
        <w:t xml:space="preserve"> </w:t>
      </w:r>
      <w:r w:rsidRPr="00FF7A05">
        <w:rPr>
          <w:rFonts w:ascii="Verdana" w:hAnsi="Verdana" w:cs="Arial"/>
          <w:sz w:val="24"/>
          <w:szCs w:val="24"/>
        </w:rPr>
        <w:t>bedroom</w:t>
      </w:r>
      <w:r w:rsidR="003D1B6E" w:rsidRPr="00FF7A05">
        <w:rPr>
          <w:rFonts w:ascii="Verdana" w:hAnsi="Verdana" w:cs="Arial"/>
          <w:sz w:val="24"/>
          <w:szCs w:val="24"/>
        </w:rPr>
        <w:t xml:space="preserve"> </w:t>
      </w:r>
      <w:r w:rsidRPr="00FF7A05">
        <w:rPr>
          <w:rFonts w:ascii="Verdana" w:hAnsi="Verdana" w:cs="Arial"/>
          <w:sz w:val="24"/>
          <w:szCs w:val="24"/>
        </w:rPr>
        <w:t>standard).</w:t>
      </w:r>
      <w:r w:rsidR="003D1B6E" w:rsidRPr="00FF7A05">
        <w:rPr>
          <w:rFonts w:ascii="Verdana" w:hAnsi="Verdana" w:cs="Arial"/>
          <w:sz w:val="24"/>
          <w:szCs w:val="24"/>
        </w:rPr>
        <w:t xml:space="preserve"> </w:t>
      </w:r>
      <w:r w:rsidRPr="00FF7A05">
        <w:rPr>
          <w:rFonts w:ascii="Verdana" w:hAnsi="Verdana" w:cs="Arial"/>
          <w:sz w:val="24"/>
          <w:szCs w:val="24"/>
        </w:rPr>
        <w:t>Analysis</w:t>
      </w:r>
      <w:r w:rsidR="003D1B6E" w:rsidRPr="00FF7A05">
        <w:rPr>
          <w:rFonts w:ascii="Verdana" w:hAnsi="Verdana" w:cs="Arial"/>
          <w:sz w:val="24"/>
          <w:szCs w:val="24"/>
        </w:rPr>
        <w:t xml:space="preserve"> </w:t>
      </w:r>
      <w:r w:rsidRPr="00FF7A05">
        <w:rPr>
          <w:rFonts w:ascii="Verdana" w:hAnsi="Verdana" w:cs="Arial"/>
          <w:sz w:val="24"/>
          <w:szCs w:val="24"/>
        </w:rPr>
        <w:t>of</w:t>
      </w:r>
      <w:r w:rsidR="003D1B6E" w:rsidRPr="00FF7A05">
        <w:rPr>
          <w:rFonts w:ascii="Verdana" w:hAnsi="Verdana" w:cs="Arial"/>
          <w:sz w:val="24"/>
          <w:szCs w:val="24"/>
        </w:rPr>
        <w:t xml:space="preserve"> </w:t>
      </w:r>
      <w:r w:rsidRPr="00FF7A05">
        <w:rPr>
          <w:rFonts w:ascii="Verdana" w:hAnsi="Verdana" w:cs="Arial"/>
          <w:sz w:val="24"/>
          <w:szCs w:val="24"/>
        </w:rPr>
        <w:t>the</w:t>
      </w:r>
      <w:r w:rsidR="003D1B6E" w:rsidRPr="00FF7A05">
        <w:rPr>
          <w:rFonts w:ascii="Verdana" w:hAnsi="Verdana" w:cs="Arial"/>
          <w:sz w:val="24"/>
          <w:szCs w:val="24"/>
        </w:rPr>
        <w:t xml:space="preserve"> </w:t>
      </w:r>
      <w:r w:rsidRPr="00FF7A05">
        <w:rPr>
          <w:rFonts w:ascii="Verdana" w:hAnsi="Verdana" w:cs="Arial"/>
          <w:sz w:val="24"/>
          <w:szCs w:val="24"/>
        </w:rPr>
        <w:t>2011</w:t>
      </w:r>
      <w:r w:rsidR="003D1B6E" w:rsidRPr="00FF7A05">
        <w:rPr>
          <w:rFonts w:ascii="Verdana" w:hAnsi="Verdana" w:cs="Arial"/>
          <w:sz w:val="24"/>
          <w:szCs w:val="24"/>
        </w:rPr>
        <w:t xml:space="preserve"> </w:t>
      </w:r>
      <w:r w:rsidRPr="00FF7A05">
        <w:rPr>
          <w:rFonts w:ascii="Verdana" w:hAnsi="Verdana" w:cs="Arial"/>
          <w:sz w:val="24"/>
          <w:szCs w:val="24"/>
        </w:rPr>
        <w:t>Census</w:t>
      </w:r>
      <w:r w:rsidR="003D1B6E" w:rsidRPr="00FF7A05">
        <w:rPr>
          <w:rFonts w:ascii="Verdana" w:hAnsi="Verdana" w:cs="Arial"/>
          <w:sz w:val="24"/>
          <w:szCs w:val="24"/>
        </w:rPr>
        <w:t xml:space="preserve"> </w:t>
      </w:r>
      <w:r w:rsidRPr="00FF7A05">
        <w:rPr>
          <w:rFonts w:ascii="Verdana" w:hAnsi="Verdana" w:cs="Arial"/>
          <w:sz w:val="24"/>
          <w:szCs w:val="24"/>
        </w:rPr>
        <w:t>shows</w:t>
      </w:r>
      <w:r w:rsidR="003D1B6E" w:rsidRPr="00FF7A05">
        <w:rPr>
          <w:rFonts w:ascii="Verdana" w:hAnsi="Verdana" w:cs="Arial"/>
          <w:sz w:val="24"/>
          <w:szCs w:val="24"/>
        </w:rPr>
        <w:t xml:space="preserve"> </w:t>
      </w:r>
      <w:r w:rsidRPr="00FF7A05">
        <w:rPr>
          <w:rFonts w:ascii="Verdana" w:hAnsi="Verdana" w:cs="Arial"/>
          <w:sz w:val="24"/>
          <w:szCs w:val="24"/>
        </w:rPr>
        <w:t>that</w:t>
      </w:r>
      <w:r w:rsidR="00897446" w:rsidRPr="00FF7A05">
        <w:rPr>
          <w:rFonts w:ascii="Verdana" w:hAnsi="Verdana" w:cs="Arial"/>
          <w:sz w:val="24"/>
          <w:szCs w:val="24"/>
        </w:rPr>
        <w:t xml:space="preserve"> </w:t>
      </w:r>
      <w:r w:rsidR="008123F5" w:rsidRPr="00FF7A05">
        <w:rPr>
          <w:rFonts w:ascii="Verdana" w:hAnsi="Verdana" w:cs="Arial"/>
          <w:sz w:val="24"/>
          <w:szCs w:val="24"/>
        </w:rPr>
        <w:t xml:space="preserve">around </w:t>
      </w:r>
      <w:r w:rsidR="00FF7A05" w:rsidRPr="00FF7A05">
        <w:rPr>
          <w:rFonts w:ascii="Verdana" w:hAnsi="Verdana" w:cs="Arial"/>
          <w:sz w:val="24"/>
          <w:szCs w:val="24"/>
        </w:rPr>
        <w:t>45</w:t>
      </w:r>
      <w:r w:rsidR="008123F5" w:rsidRPr="00FF7A05">
        <w:rPr>
          <w:rFonts w:ascii="Verdana" w:hAnsi="Verdana" w:cs="Arial"/>
          <w:sz w:val="24"/>
          <w:szCs w:val="24"/>
        </w:rPr>
        <w:t>%</w:t>
      </w:r>
      <w:r w:rsidR="00230BDE" w:rsidRPr="00FF7A05">
        <w:rPr>
          <w:rFonts w:ascii="Verdana" w:hAnsi="Verdana" w:cs="Arial"/>
          <w:sz w:val="24"/>
          <w:szCs w:val="24"/>
        </w:rPr>
        <w:t xml:space="preserve"> </w:t>
      </w:r>
      <w:r w:rsidR="00D05A05" w:rsidRPr="00FF7A05">
        <w:rPr>
          <w:rFonts w:ascii="Verdana" w:hAnsi="Verdana" w:cs="Arial"/>
          <w:sz w:val="24"/>
          <w:szCs w:val="24"/>
        </w:rPr>
        <w:t xml:space="preserve">of all </w:t>
      </w:r>
      <w:r w:rsidR="008123F5" w:rsidRPr="00FF7A05">
        <w:rPr>
          <w:rFonts w:ascii="Verdana" w:hAnsi="Verdana" w:cs="Arial"/>
          <w:sz w:val="24"/>
          <w:szCs w:val="24"/>
        </w:rPr>
        <w:t xml:space="preserve">occupied </w:t>
      </w:r>
      <w:r w:rsidR="00D05A05" w:rsidRPr="00FF7A05">
        <w:rPr>
          <w:rFonts w:ascii="Verdana" w:hAnsi="Verdana" w:cs="Arial"/>
          <w:sz w:val="24"/>
          <w:szCs w:val="24"/>
        </w:rPr>
        <w:t xml:space="preserve">households in the </w:t>
      </w:r>
      <w:r w:rsidR="00F64A4F" w:rsidRPr="00FF7A05">
        <w:rPr>
          <w:rFonts w:ascii="Verdana" w:hAnsi="Verdana" w:cs="Arial"/>
          <w:sz w:val="24"/>
          <w:szCs w:val="24"/>
        </w:rPr>
        <w:t>Blackfordby</w:t>
      </w:r>
      <w:r w:rsidR="00230BDE" w:rsidRPr="00FF7A05">
        <w:rPr>
          <w:rFonts w:ascii="Verdana" w:hAnsi="Verdana" w:cs="Arial"/>
          <w:sz w:val="24"/>
          <w:szCs w:val="24"/>
        </w:rPr>
        <w:t xml:space="preserve"> </w:t>
      </w:r>
      <w:r w:rsidR="00675D2E">
        <w:rPr>
          <w:rFonts w:ascii="Verdana" w:hAnsi="Verdana" w:cs="Arial"/>
          <w:sz w:val="24"/>
          <w:szCs w:val="24"/>
        </w:rPr>
        <w:t>l</w:t>
      </w:r>
      <w:r w:rsidR="00F64A4F" w:rsidRPr="00FF7A05">
        <w:rPr>
          <w:rFonts w:ascii="Verdana" w:hAnsi="Verdana" w:cs="Arial"/>
          <w:sz w:val="24"/>
          <w:szCs w:val="24"/>
        </w:rPr>
        <w:t>ocal area</w:t>
      </w:r>
      <w:r w:rsidR="003D1B6E" w:rsidRPr="00FF7A05">
        <w:rPr>
          <w:rFonts w:ascii="Verdana" w:hAnsi="Verdana" w:cs="Arial"/>
          <w:sz w:val="24"/>
          <w:szCs w:val="24"/>
        </w:rPr>
        <w:t xml:space="preserve"> </w:t>
      </w:r>
      <w:r w:rsidRPr="00FF7A05">
        <w:rPr>
          <w:rFonts w:ascii="Verdana" w:hAnsi="Verdana" w:cs="Arial"/>
          <w:sz w:val="24"/>
          <w:szCs w:val="24"/>
        </w:rPr>
        <w:t>have</w:t>
      </w:r>
      <w:r w:rsidR="003D1B6E" w:rsidRPr="00FF7A05">
        <w:rPr>
          <w:rFonts w:ascii="Verdana" w:hAnsi="Verdana" w:cs="Arial"/>
          <w:sz w:val="24"/>
          <w:szCs w:val="24"/>
        </w:rPr>
        <w:t xml:space="preserve"> </w:t>
      </w:r>
      <w:r w:rsidRPr="00FF7A05">
        <w:rPr>
          <w:rFonts w:ascii="Verdana" w:hAnsi="Verdana" w:cs="Arial"/>
          <w:sz w:val="24"/>
          <w:szCs w:val="24"/>
        </w:rPr>
        <w:t>two</w:t>
      </w:r>
      <w:r w:rsidR="003D1B6E" w:rsidRPr="00FF7A05">
        <w:rPr>
          <w:rFonts w:ascii="Verdana" w:hAnsi="Verdana" w:cs="Arial"/>
          <w:sz w:val="24"/>
          <w:szCs w:val="24"/>
        </w:rPr>
        <w:t xml:space="preserve"> </w:t>
      </w:r>
      <w:r w:rsidRPr="00FF7A05">
        <w:rPr>
          <w:rFonts w:ascii="Verdana" w:hAnsi="Verdana" w:cs="Arial"/>
          <w:sz w:val="24"/>
          <w:szCs w:val="24"/>
        </w:rPr>
        <w:t>or</w:t>
      </w:r>
      <w:r w:rsidR="003D1B6E" w:rsidRPr="00FF7A05">
        <w:rPr>
          <w:rFonts w:ascii="Verdana" w:hAnsi="Verdana" w:cs="Arial"/>
          <w:sz w:val="24"/>
          <w:szCs w:val="24"/>
        </w:rPr>
        <w:t xml:space="preserve"> </w:t>
      </w:r>
      <w:r w:rsidRPr="00FF7A05">
        <w:rPr>
          <w:rFonts w:ascii="Verdana" w:hAnsi="Verdana" w:cs="Arial"/>
          <w:sz w:val="24"/>
          <w:szCs w:val="24"/>
        </w:rPr>
        <w:t>mo</w:t>
      </w:r>
      <w:r w:rsidR="00793F4D" w:rsidRPr="00FF7A05">
        <w:rPr>
          <w:rFonts w:ascii="Verdana" w:hAnsi="Verdana" w:cs="Arial"/>
          <w:sz w:val="24"/>
          <w:szCs w:val="24"/>
        </w:rPr>
        <w:t>re</w:t>
      </w:r>
      <w:r w:rsidR="003D1B6E" w:rsidRPr="00FF7A05">
        <w:rPr>
          <w:rFonts w:ascii="Verdana" w:hAnsi="Verdana" w:cs="Arial"/>
          <w:sz w:val="24"/>
          <w:szCs w:val="24"/>
        </w:rPr>
        <w:t xml:space="preserve"> </w:t>
      </w:r>
      <w:r w:rsidR="00793F4D" w:rsidRPr="00FF7A05">
        <w:rPr>
          <w:rFonts w:ascii="Verdana" w:hAnsi="Verdana" w:cs="Arial"/>
          <w:sz w:val="24"/>
          <w:szCs w:val="24"/>
        </w:rPr>
        <w:t>spare</w:t>
      </w:r>
      <w:r w:rsidR="003D1B6E" w:rsidRPr="00FF7A05">
        <w:rPr>
          <w:rFonts w:ascii="Verdana" w:hAnsi="Verdana" w:cs="Arial"/>
          <w:sz w:val="24"/>
          <w:szCs w:val="24"/>
        </w:rPr>
        <w:t xml:space="preserve"> </w:t>
      </w:r>
      <w:r w:rsidR="00793F4D" w:rsidRPr="00FF7A05">
        <w:rPr>
          <w:rFonts w:ascii="Verdana" w:hAnsi="Verdana" w:cs="Arial"/>
          <w:sz w:val="24"/>
          <w:szCs w:val="24"/>
        </w:rPr>
        <w:t>bedrooms</w:t>
      </w:r>
      <w:r w:rsidR="003D1B6E" w:rsidRPr="00FF7A05">
        <w:rPr>
          <w:rFonts w:ascii="Verdana" w:hAnsi="Verdana" w:cs="Arial"/>
          <w:sz w:val="24"/>
          <w:szCs w:val="24"/>
        </w:rPr>
        <w:t xml:space="preserve"> </w:t>
      </w:r>
      <w:r w:rsidR="00793F4D" w:rsidRPr="00FF7A05">
        <w:rPr>
          <w:rFonts w:ascii="Verdana" w:hAnsi="Verdana" w:cs="Arial"/>
          <w:sz w:val="24"/>
          <w:szCs w:val="24"/>
        </w:rPr>
        <w:t>and</w:t>
      </w:r>
      <w:r w:rsidR="003D1B6E" w:rsidRPr="00FF7A05">
        <w:rPr>
          <w:rFonts w:ascii="Verdana" w:hAnsi="Verdana" w:cs="Arial"/>
          <w:sz w:val="24"/>
          <w:szCs w:val="24"/>
        </w:rPr>
        <w:t xml:space="preserve"> </w:t>
      </w:r>
      <w:r w:rsidR="006538C9" w:rsidRPr="00FF7A05">
        <w:rPr>
          <w:rFonts w:ascii="Verdana" w:hAnsi="Verdana" w:cs="Arial"/>
          <w:sz w:val="24"/>
          <w:szCs w:val="24"/>
        </w:rPr>
        <w:t xml:space="preserve">around </w:t>
      </w:r>
      <w:r w:rsidR="00FF7A05" w:rsidRPr="00FF7A05">
        <w:rPr>
          <w:rFonts w:ascii="Verdana" w:hAnsi="Verdana" w:cs="Arial"/>
          <w:sz w:val="24"/>
          <w:szCs w:val="24"/>
        </w:rPr>
        <w:t>40</w:t>
      </w:r>
      <w:r w:rsidR="00CA2987" w:rsidRPr="00FF7A05">
        <w:rPr>
          <w:rFonts w:ascii="Verdana" w:hAnsi="Verdana" w:cs="Arial"/>
          <w:sz w:val="24"/>
          <w:szCs w:val="24"/>
        </w:rPr>
        <w:t xml:space="preserve">% </w:t>
      </w:r>
      <w:r w:rsidR="006C3D0B" w:rsidRPr="00FF7A05">
        <w:rPr>
          <w:rFonts w:ascii="Verdana" w:hAnsi="Verdana" w:cs="Arial"/>
          <w:sz w:val="24"/>
          <w:szCs w:val="24"/>
        </w:rPr>
        <w:t xml:space="preserve">have </w:t>
      </w:r>
      <w:r w:rsidRPr="00FF7A05">
        <w:rPr>
          <w:rFonts w:ascii="Verdana" w:hAnsi="Verdana" w:cs="Arial"/>
          <w:sz w:val="24"/>
          <w:szCs w:val="24"/>
        </w:rPr>
        <w:t>one</w:t>
      </w:r>
      <w:r w:rsidR="003D1B6E" w:rsidRPr="00FF7A05">
        <w:rPr>
          <w:rFonts w:ascii="Verdana" w:hAnsi="Verdana" w:cs="Arial"/>
          <w:sz w:val="24"/>
          <w:szCs w:val="24"/>
        </w:rPr>
        <w:t xml:space="preserve"> </w:t>
      </w:r>
      <w:r w:rsidRPr="00FF7A05">
        <w:rPr>
          <w:rFonts w:ascii="Verdana" w:hAnsi="Verdana" w:cs="Arial"/>
          <w:sz w:val="24"/>
          <w:szCs w:val="24"/>
        </w:rPr>
        <w:t>spare</w:t>
      </w:r>
      <w:r w:rsidR="003D1B6E" w:rsidRPr="00FF7A05">
        <w:rPr>
          <w:rFonts w:ascii="Verdana" w:hAnsi="Verdana" w:cs="Arial"/>
          <w:sz w:val="24"/>
          <w:szCs w:val="24"/>
        </w:rPr>
        <w:t xml:space="preserve"> </w:t>
      </w:r>
      <w:r w:rsidRPr="00FF7A05">
        <w:rPr>
          <w:rFonts w:ascii="Verdana" w:hAnsi="Verdana" w:cs="Arial"/>
          <w:sz w:val="24"/>
          <w:szCs w:val="24"/>
        </w:rPr>
        <w:t>bedroom.</w:t>
      </w:r>
      <w:r w:rsidR="003D1B6E" w:rsidRPr="00FF7A05">
        <w:rPr>
          <w:rFonts w:ascii="Verdana" w:hAnsi="Verdana" w:cs="Arial"/>
          <w:sz w:val="24"/>
          <w:szCs w:val="24"/>
        </w:rPr>
        <w:t xml:space="preserve"> </w:t>
      </w:r>
      <w:r w:rsidR="00793F4D" w:rsidRPr="00FF7A05">
        <w:rPr>
          <w:rFonts w:ascii="Verdana" w:hAnsi="Verdana" w:cs="Arial"/>
          <w:sz w:val="24"/>
          <w:szCs w:val="24"/>
        </w:rPr>
        <w:t>Under</w:t>
      </w:r>
      <w:r w:rsidR="003D1B6E" w:rsidRPr="00FF7A05">
        <w:rPr>
          <w:rFonts w:ascii="Verdana" w:hAnsi="Verdana" w:cs="Arial"/>
          <w:sz w:val="24"/>
          <w:szCs w:val="24"/>
        </w:rPr>
        <w:t xml:space="preserve"> </w:t>
      </w:r>
      <w:r w:rsidR="00793F4D" w:rsidRPr="00FF7A05">
        <w:rPr>
          <w:rFonts w:ascii="Verdana" w:hAnsi="Verdana" w:cs="Arial"/>
          <w:sz w:val="24"/>
          <w:szCs w:val="24"/>
        </w:rPr>
        <w:t>occupancy</w:t>
      </w:r>
      <w:r w:rsidR="003D1B6E" w:rsidRPr="00FF7A05">
        <w:rPr>
          <w:rFonts w:ascii="Verdana" w:hAnsi="Verdana" w:cs="Arial"/>
          <w:sz w:val="24"/>
          <w:szCs w:val="24"/>
        </w:rPr>
        <w:t xml:space="preserve"> </w:t>
      </w:r>
      <w:r w:rsidR="00793F4D" w:rsidRPr="00FF7A05">
        <w:rPr>
          <w:rFonts w:ascii="Verdana" w:hAnsi="Verdana" w:cs="Arial"/>
          <w:sz w:val="24"/>
          <w:szCs w:val="24"/>
        </w:rPr>
        <w:t>is</w:t>
      </w:r>
      <w:r w:rsidR="00E3594C" w:rsidRPr="00FF7A05">
        <w:rPr>
          <w:rFonts w:ascii="Verdana" w:hAnsi="Verdana" w:cs="Arial"/>
          <w:sz w:val="24"/>
          <w:szCs w:val="24"/>
        </w:rPr>
        <w:t xml:space="preserve"> </w:t>
      </w:r>
      <w:r w:rsidR="00793F4D" w:rsidRPr="00FF7A05">
        <w:rPr>
          <w:rFonts w:ascii="Verdana" w:hAnsi="Verdana" w:cs="Arial"/>
          <w:sz w:val="24"/>
          <w:szCs w:val="24"/>
        </w:rPr>
        <w:t>higher</w:t>
      </w:r>
      <w:r w:rsidR="003D1B6E" w:rsidRPr="00FF7A05">
        <w:rPr>
          <w:rFonts w:ascii="Verdana" w:hAnsi="Verdana" w:cs="Arial"/>
          <w:sz w:val="24"/>
          <w:szCs w:val="24"/>
        </w:rPr>
        <w:t xml:space="preserve"> </w:t>
      </w:r>
      <w:r w:rsidRPr="00FF7A05">
        <w:rPr>
          <w:rFonts w:ascii="Verdana" w:hAnsi="Verdana" w:cs="Arial"/>
          <w:sz w:val="24"/>
          <w:szCs w:val="24"/>
        </w:rPr>
        <w:t>than</w:t>
      </w:r>
      <w:r w:rsidR="00C6541E" w:rsidRPr="00FF7A05">
        <w:rPr>
          <w:rFonts w:ascii="Verdana" w:hAnsi="Verdana" w:cs="Arial"/>
          <w:sz w:val="24"/>
          <w:szCs w:val="24"/>
        </w:rPr>
        <w:t xml:space="preserve"> </w:t>
      </w:r>
      <w:r w:rsidR="00887B8D" w:rsidRPr="00FF7A05">
        <w:rPr>
          <w:rFonts w:ascii="Verdana" w:hAnsi="Verdana" w:cs="Arial"/>
          <w:sz w:val="24"/>
          <w:szCs w:val="24"/>
        </w:rPr>
        <w:t>borough</w:t>
      </w:r>
      <w:r w:rsidR="00C6541E" w:rsidRPr="00FF7A05">
        <w:rPr>
          <w:rFonts w:ascii="Verdana" w:hAnsi="Verdana" w:cs="Arial"/>
          <w:sz w:val="24"/>
          <w:szCs w:val="24"/>
        </w:rPr>
        <w:t>,</w:t>
      </w:r>
      <w:r w:rsidR="00230BDE" w:rsidRPr="00FF7A05">
        <w:rPr>
          <w:rFonts w:ascii="Verdana" w:hAnsi="Verdana" w:cs="Arial"/>
          <w:sz w:val="24"/>
          <w:szCs w:val="24"/>
        </w:rPr>
        <w:t xml:space="preserve"> </w:t>
      </w:r>
      <w:r w:rsidRPr="00FF7A05">
        <w:rPr>
          <w:rFonts w:ascii="Verdana" w:hAnsi="Verdana" w:cs="Arial"/>
          <w:sz w:val="24"/>
          <w:szCs w:val="24"/>
        </w:rPr>
        <w:t>regional</w:t>
      </w:r>
      <w:r w:rsidR="000B3C63" w:rsidRPr="00FF7A05">
        <w:rPr>
          <w:rFonts w:ascii="Verdana" w:hAnsi="Verdana" w:cs="Arial"/>
          <w:sz w:val="24"/>
          <w:szCs w:val="24"/>
        </w:rPr>
        <w:t xml:space="preserve"> and national averages.</w:t>
      </w:r>
    </w:p>
    <w:p w14:paraId="5557FCFB" w14:textId="77777777" w:rsidR="00463ADC" w:rsidRPr="00F20F69" w:rsidRDefault="00463ADC" w:rsidP="00F20F69">
      <w:pPr>
        <w:pStyle w:val="NoSpacing"/>
        <w:jc w:val="both"/>
        <w:rPr>
          <w:rFonts w:ascii="Verdana" w:hAnsi="Verdana" w:cs="Arial"/>
          <w:sz w:val="20"/>
          <w:szCs w:val="24"/>
        </w:rPr>
      </w:pPr>
    </w:p>
    <w:p w14:paraId="2B911BD3" w14:textId="77777777" w:rsidR="00A25FFE" w:rsidRDefault="00347FA4" w:rsidP="00FF7A05">
      <w:pPr>
        <w:pStyle w:val="Caption"/>
        <w:keepNext/>
        <w:keepLines/>
        <w:widowControl w:val="0"/>
        <w:spacing w:after="120"/>
        <w:jc w:val="center"/>
        <w:rPr>
          <w:rFonts w:ascii="Verdana" w:hAnsi="Verdana" w:cs="Arial"/>
          <w:b/>
          <w:sz w:val="22"/>
          <w:szCs w:val="24"/>
        </w:rPr>
      </w:pPr>
      <w:r w:rsidRPr="00F37FDE">
        <w:rPr>
          <w:rFonts w:ascii="Verdana" w:hAnsi="Verdana" w:cs="Arial"/>
          <w:b/>
          <w:sz w:val="22"/>
          <w:szCs w:val="24"/>
        </w:rPr>
        <w:lastRenderedPageBreak/>
        <w:t>Figure</w:t>
      </w:r>
      <w:r w:rsidR="003D1B6E" w:rsidRPr="00F37FDE">
        <w:rPr>
          <w:rFonts w:ascii="Verdana" w:hAnsi="Verdana" w:cs="Arial"/>
          <w:b/>
          <w:sz w:val="22"/>
          <w:szCs w:val="24"/>
        </w:rPr>
        <w:t xml:space="preserve"> </w:t>
      </w:r>
      <w:r w:rsidR="00913D88">
        <w:rPr>
          <w:rFonts w:ascii="Verdana" w:hAnsi="Verdana" w:cs="Arial"/>
          <w:b/>
          <w:sz w:val="22"/>
          <w:szCs w:val="24"/>
        </w:rPr>
        <w:fldChar w:fldCharType="begin"/>
      </w:r>
      <w:r w:rsidR="00913D88">
        <w:rPr>
          <w:rFonts w:ascii="Verdana" w:hAnsi="Verdana" w:cs="Arial"/>
          <w:b/>
          <w:sz w:val="22"/>
          <w:szCs w:val="24"/>
        </w:rPr>
        <w:instrText xml:space="preserve"> SEQ Figure \* ARABIC </w:instrText>
      </w:r>
      <w:r w:rsidR="00913D88">
        <w:rPr>
          <w:rFonts w:ascii="Verdana" w:hAnsi="Verdana" w:cs="Arial"/>
          <w:b/>
          <w:sz w:val="22"/>
          <w:szCs w:val="24"/>
        </w:rPr>
        <w:fldChar w:fldCharType="separate"/>
      </w:r>
      <w:r w:rsidR="00CA4EB9">
        <w:rPr>
          <w:rFonts w:ascii="Verdana" w:hAnsi="Verdana" w:cs="Arial"/>
          <w:b/>
          <w:noProof/>
          <w:sz w:val="22"/>
          <w:szCs w:val="24"/>
        </w:rPr>
        <w:t>3</w:t>
      </w:r>
      <w:r w:rsidR="00913D88">
        <w:rPr>
          <w:rFonts w:ascii="Verdana" w:hAnsi="Verdana" w:cs="Arial"/>
          <w:b/>
          <w:sz w:val="22"/>
          <w:szCs w:val="24"/>
        </w:rPr>
        <w:fldChar w:fldCharType="end"/>
      </w:r>
      <w:r w:rsidR="00F61DEA">
        <w:rPr>
          <w:rFonts w:ascii="Verdana" w:hAnsi="Verdana" w:cs="Arial"/>
          <w:b/>
          <w:sz w:val="22"/>
          <w:szCs w:val="24"/>
        </w:rPr>
        <w:t>:</w:t>
      </w:r>
      <w:r w:rsidR="003D1B6E" w:rsidRPr="00F37FDE">
        <w:rPr>
          <w:rFonts w:ascii="Verdana" w:hAnsi="Verdana" w:cs="Arial"/>
          <w:b/>
          <w:sz w:val="22"/>
          <w:szCs w:val="24"/>
        </w:rPr>
        <w:t xml:space="preserve"> </w:t>
      </w:r>
      <w:r w:rsidRPr="00F37FDE">
        <w:rPr>
          <w:rFonts w:ascii="Verdana" w:hAnsi="Verdana" w:cs="Arial"/>
          <w:b/>
          <w:sz w:val="22"/>
          <w:szCs w:val="24"/>
        </w:rPr>
        <w:t>Bedroom</w:t>
      </w:r>
      <w:r w:rsidR="003D1B6E" w:rsidRPr="00F37FDE">
        <w:rPr>
          <w:rFonts w:ascii="Verdana" w:hAnsi="Verdana" w:cs="Arial"/>
          <w:b/>
          <w:sz w:val="22"/>
          <w:szCs w:val="24"/>
        </w:rPr>
        <w:t xml:space="preserve"> </w:t>
      </w:r>
      <w:r w:rsidRPr="00F37FDE">
        <w:rPr>
          <w:rFonts w:ascii="Verdana" w:hAnsi="Verdana" w:cs="Arial"/>
          <w:b/>
          <w:sz w:val="22"/>
          <w:szCs w:val="24"/>
        </w:rPr>
        <w:t>Occupancy</w:t>
      </w:r>
      <w:r w:rsidR="003D1B6E" w:rsidRPr="00F37FDE">
        <w:rPr>
          <w:rFonts w:ascii="Verdana" w:hAnsi="Verdana" w:cs="Arial"/>
          <w:b/>
          <w:sz w:val="22"/>
          <w:szCs w:val="24"/>
        </w:rPr>
        <w:t xml:space="preserve"> </w:t>
      </w:r>
      <w:r w:rsidRPr="00F37FDE">
        <w:rPr>
          <w:rFonts w:ascii="Verdana" w:hAnsi="Verdana" w:cs="Arial"/>
          <w:b/>
          <w:sz w:val="22"/>
          <w:szCs w:val="24"/>
        </w:rPr>
        <w:t>Rates,</w:t>
      </w:r>
      <w:r w:rsidR="003D1B6E" w:rsidRPr="00F37FDE">
        <w:rPr>
          <w:rFonts w:ascii="Verdana" w:hAnsi="Verdana" w:cs="Arial"/>
          <w:b/>
          <w:sz w:val="22"/>
          <w:szCs w:val="24"/>
        </w:rPr>
        <w:t xml:space="preserve"> </w:t>
      </w:r>
      <w:r w:rsidRPr="00F37FDE">
        <w:rPr>
          <w:rFonts w:ascii="Verdana" w:hAnsi="Verdana" w:cs="Arial"/>
          <w:b/>
          <w:sz w:val="22"/>
          <w:szCs w:val="24"/>
        </w:rPr>
        <w:t>All</w:t>
      </w:r>
      <w:r w:rsidR="003D1B6E" w:rsidRPr="00F37FDE">
        <w:rPr>
          <w:rFonts w:ascii="Verdana" w:hAnsi="Verdana" w:cs="Arial"/>
          <w:b/>
          <w:sz w:val="22"/>
          <w:szCs w:val="24"/>
        </w:rPr>
        <w:t xml:space="preserve"> </w:t>
      </w:r>
      <w:r w:rsidRPr="00F37FDE">
        <w:rPr>
          <w:rFonts w:ascii="Verdana" w:hAnsi="Verdana" w:cs="Arial"/>
          <w:b/>
          <w:sz w:val="22"/>
          <w:szCs w:val="24"/>
        </w:rPr>
        <w:t>Households,</w:t>
      </w:r>
      <w:r w:rsidR="003D1B6E" w:rsidRPr="00F37FDE">
        <w:rPr>
          <w:rFonts w:ascii="Verdana" w:hAnsi="Verdana" w:cs="Arial"/>
          <w:b/>
          <w:sz w:val="22"/>
          <w:szCs w:val="24"/>
        </w:rPr>
        <w:t xml:space="preserve"> </w:t>
      </w:r>
      <w:r w:rsidRPr="00F37FDE">
        <w:rPr>
          <w:rFonts w:ascii="Verdana" w:hAnsi="Verdana" w:cs="Arial"/>
          <w:b/>
          <w:sz w:val="22"/>
          <w:szCs w:val="24"/>
        </w:rPr>
        <w:t>2011</w:t>
      </w:r>
    </w:p>
    <w:p w14:paraId="78E5440B" w14:textId="77777777" w:rsidR="00AB78BD" w:rsidRPr="00AB78BD" w:rsidRDefault="00FB13B8" w:rsidP="00FF7A05">
      <w:pPr>
        <w:keepNext/>
        <w:keepLines/>
        <w:jc w:val="center"/>
      </w:pPr>
      <w:r>
        <w:rPr>
          <w:noProof/>
          <w:lang w:eastAsia="en-GB"/>
        </w:rPr>
        <w:drawing>
          <wp:inline distT="0" distB="0" distL="0" distR="0" wp14:anchorId="14E46F41" wp14:editId="0AF1362F">
            <wp:extent cx="5714234" cy="389572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24933" cy="3903019"/>
                    </a:xfrm>
                    <a:prstGeom prst="rect">
                      <a:avLst/>
                    </a:prstGeom>
                    <a:noFill/>
                  </pic:spPr>
                </pic:pic>
              </a:graphicData>
            </a:graphic>
          </wp:inline>
        </w:drawing>
      </w:r>
    </w:p>
    <w:p w14:paraId="0E704466" w14:textId="77777777" w:rsidR="00383F45" w:rsidRPr="00F37FDE" w:rsidRDefault="00347FA4" w:rsidP="00FF7A05">
      <w:pPr>
        <w:pStyle w:val="NoSpacing"/>
        <w:keepNext/>
        <w:keepLines/>
        <w:widowControl w:val="0"/>
        <w:jc w:val="center"/>
        <w:rPr>
          <w:rFonts w:ascii="Verdana" w:hAnsi="Verdana" w:cs="Arial"/>
          <w:i/>
          <w:sz w:val="20"/>
          <w:szCs w:val="24"/>
        </w:rPr>
      </w:pPr>
      <w:r w:rsidRPr="00F37FDE">
        <w:rPr>
          <w:rFonts w:ascii="Verdana" w:hAnsi="Verdana" w:cs="Arial"/>
          <w:i/>
          <w:sz w:val="20"/>
          <w:szCs w:val="24"/>
        </w:rPr>
        <w:t>Source:</w:t>
      </w:r>
      <w:r w:rsidR="003D1B6E" w:rsidRPr="00F37FDE">
        <w:rPr>
          <w:rFonts w:ascii="Verdana" w:hAnsi="Verdana" w:cs="Arial"/>
          <w:i/>
          <w:sz w:val="20"/>
          <w:szCs w:val="24"/>
        </w:rPr>
        <w:t xml:space="preserve"> </w:t>
      </w:r>
      <w:r w:rsidRPr="00F37FDE">
        <w:rPr>
          <w:rFonts w:ascii="Verdana" w:hAnsi="Verdana" w:cs="Arial"/>
          <w:i/>
          <w:sz w:val="20"/>
          <w:szCs w:val="24"/>
        </w:rPr>
        <w:t>Census</w:t>
      </w:r>
      <w:r w:rsidR="003D1B6E" w:rsidRPr="00F37FDE">
        <w:rPr>
          <w:rFonts w:ascii="Verdana" w:hAnsi="Verdana" w:cs="Arial"/>
          <w:i/>
          <w:sz w:val="20"/>
          <w:szCs w:val="24"/>
        </w:rPr>
        <w:t xml:space="preserve"> </w:t>
      </w:r>
      <w:r w:rsidRPr="00F37FDE">
        <w:rPr>
          <w:rFonts w:ascii="Verdana" w:hAnsi="Verdana" w:cs="Arial"/>
          <w:i/>
          <w:sz w:val="20"/>
          <w:szCs w:val="24"/>
        </w:rPr>
        <w:t>2011,</w:t>
      </w:r>
      <w:r w:rsidR="003D1B6E" w:rsidRPr="00F37FDE">
        <w:rPr>
          <w:rFonts w:ascii="Verdana" w:hAnsi="Verdana" w:cs="Arial"/>
          <w:i/>
          <w:sz w:val="20"/>
          <w:szCs w:val="24"/>
        </w:rPr>
        <w:t xml:space="preserve"> </w:t>
      </w:r>
      <w:r w:rsidRPr="00F37FDE">
        <w:rPr>
          <w:rFonts w:ascii="Verdana" w:hAnsi="Verdana" w:cs="Arial"/>
          <w:i/>
          <w:sz w:val="20"/>
          <w:szCs w:val="24"/>
        </w:rPr>
        <w:t>QS412EW</w:t>
      </w:r>
    </w:p>
    <w:p w14:paraId="03FCADD6" w14:textId="77777777" w:rsidR="00F455D9" w:rsidRDefault="00F455D9" w:rsidP="00F20F69">
      <w:pPr>
        <w:pStyle w:val="NoSpacing"/>
        <w:jc w:val="both"/>
        <w:rPr>
          <w:rFonts w:ascii="Verdana" w:hAnsi="Verdana" w:cs="Arial"/>
          <w:sz w:val="20"/>
          <w:szCs w:val="24"/>
        </w:rPr>
      </w:pPr>
    </w:p>
    <w:p w14:paraId="0FA5A7BD" w14:textId="77777777" w:rsidR="006C3D0B" w:rsidRPr="00F37FDE" w:rsidRDefault="00347FA4" w:rsidP="00B36C63">
      <w:pPr>
        <w:widowControl w:val="0"/>
        <w:spacing w:after="0" w:line="240" w:lineRule="auto"/>
        <w:jc w:val="both"/>
        <w:rPr>
          <w:rFonts w:ascii="Verdana" w:hAnsi="Verdana" w:cs="Arial"/>
          <w:sz w:val="24"/>
          <w:szCs w:val="24"/>
        </w:rPr>
      </w:pPr>
      <w:r w:rsidRPr="00F37FDE">
        <w:rPr>
          <w:rFonts w:ascii="Verdana" w:hAnsi="Verdana" w:cs="Arial"/>
          <w:sz w:val="24"/>
          <w:szCs w:val="24"/>
        </w:rPr>
        <w:t>Under</w:t>
      </w:r>
      <w:r w:rsidR="003D1B6E" w:rsidRPr="00F37FDE">
        <w:rPr>
          <w:rFonts w:ascii="Verdana" w:hAnsi="Verdana" w:cs="Arial"/>
          <w:sz w:val="24"/>
          <w:szCs w:val="24"/>
        </w:rPr>
        <w:t xml:space="preserve"> </w:t>
      </w:r>
      <w:r w:rsidRPr="00F37FDE">
        <w:rPr>
          <w:rFonts w:ascii="Verdana" w:hAnsi="Verdana" w:cs="Arial"/>
          <w:sz w:val="24"/>
          <w:szCs w:val="24"/>
        </w:rPr>
        <w:t>occupancy</w:t>
      </w:r>
      <w:r w:rsidR="000F1E62">
        <w:rPr>
          <w:rFonts w:ascii="Verdana" w:hAnsi="Verdana" w:cs="Arial"/>
          <w:sz w:val="24"/>
          <w:szCs w:val="24"/>
        </w:rPr>
        <w:t xml:space="preserve"> in the </w:t>
      </w:r>
      <w:r w:rsidR="00F64A4F">
        <w:rPr>
          <w:rFonts w:ascii="Verdana" w:hAnsi="Verdana" w:cs="Arial"/>
          <w:sz w:val="24"/>
          <w:szCs w:val="24"/>
        </w:rPr>
        <w:t>local area</w:t>
      </w:r>
      <w:r w:rsidR="003D1B6E" w:rsidRPr="00F37FDE">
        <w:rPr>
          <w:rFonts w:ascii="Verdana" w:hAnsi="Verdana" w:cs="Arial"/>
          <w:sz w:val="24"/>
          <w:szCs w:val="24"/>
        </w:rPr>
        <w:t xml:space="preserve"> </w:t>
      </w:r>
      <w:r w:rsidR="008C4C79" w:rsidRPr="00F37FDE">
        <w:rPr>
          <w:rFonts w:ascii="Verdana" w:hAnsi="Verdana" w:cs="Arial"/>
          <w:sz w:val="24"/>
          <w:szCs w:val="24"/>
        </w:rPr>
        <w:t>is</w:t>
      </w:r>
      <w:r w:rsidR="003D1B6E" w:rsidRPr="00F37FDE">
        <w:rPr>
          <w:rFonts w:ascii="Verdana" w:hAnsi="Verdana" w:cs="Arial"/>
          <w:sz w:val="24"/>
          <w:szCs w:val="24"/>
        </w:rPr>
        <w:t xml:space="preserve"> </w:t>
      </w:r>
      <w:r w:rsidR="008C4C79" w:rsidRPr="00F37FDE">
        <w:rPr>
          <w:rFonts w:ascii="Verdana" w:hAnsi="Verdana" w:cs="Arial"/>
          <w:sz w:val="24"/>
          <w:szCs w:val="24"/>
        </w:rPr>
        <w:t>particularly</w:t>
      </w:r>
      <w:r w:rsidR="003D1B6E" w:rsidRPr="00F37FDE">
        <w:rPr>
          <w:rFonts w:ascii="Verdana" w:hAnsi="Verdana" w:cs="Arial"/>
          <w:sz w:val="24"/>
          <w:szCs w:val="24"/>
        </w:rPr>
        <w:t xml:space="preserve"> </w:t>
      </w:r>
      <w:r w:rsidR="008C4C79" w:rsidRPr="00F37FDE">
        <w:rPr>
          <w:rFonts w:ascii="Verdana" w:hAnsi="Verdana" w:cs="Arial"/>
          <w:sz w:val="24"/>
          <w:szCs w:val="24"/>
        </w:rPr>
        <w:t>evident</w:t>
      </w:r>
      <w:r w:rsidR="003D1B6E" w:rsidRPr="00F37FDE">
        <w:rPr>
          <w:rFonts w:ascii="Verdana" w:hAnsi="Verdana" w:cs="Arial"/>
          <w:sz w:val="24"/>
          <w:szCs w:val="24"/>
        </w:rPr>
        <w:t xml:space="preserve"> </w:t>
      </w:r>
      <w:r w:rsidR="008C4C79" w:rsidRPr="00F37FDE">
        <w:rPr>
          <w:rFonts w:ascii="Verdana" w:hAnsi="Verdana" w:cs="Arial"/>
          <w:sz w:val="24"/>
          <w:szCs w:val="24"/>
        </w:rPr>
        <w:t>in</w:t>
      </w:r>
      <w:r w:rsidR="003D1B6E" w:rsidRPr="00F37FDE">
        <w:rPr>
          <w:rFonts w:ascii="Verdana" w:hAnsi="Verdana" w:cs="Arial"/>
          <w:sz w:val="24"/>
          <w:szCs w:val="24"/>
        </w:rPr>
        <w:t xml:space="preserve"> </w:t>
      </w:r>
      <w:r w:rsidR="008C4C79" w:rsidRPr="00F37FDE">
        <w:rPr>
          <w:rFonts w:ascii="Verdana" w:hAnsi="Verdana" w:cs="Arial"/>
          <w:sz w:val="24"/>
          <w:szCs w:val="24"/>
        </w:rPr>
        <w:t>larger</w:t>
      </w:r>
      <w:r w:rsidR="003D1B6E" w:rsidRPr="00F37FDE">
        <w:rPr>
          <w:rFonts w:ascii="Verdana" w:hAnsi="Verdana" w:cs="Arial"/>
          <w:sz w:val="24"/>
          <w:szCs w:val="24"/>
        </w:rPr>
        <w:t xml:space="preserve"> </w:t>
      </w:r>
      <w:r w:rsidR="008C4C79" w:rsidRPr="00F37FDE">
        <w:rPr>
          <w:rFonts w:ascii="Verdana" w:hAnsi="Verdana" w:cs="Arial"/>
          <w:sz w:val="24"/>
          <w:szCs w:val="24"/>
        </w:rPr>
        <w:t>properties</w:t>
      </w:r>
      <w:r w:rsidR="003D1B6E" w:rsidRPr="00F37FDE">
        <w:rPr>
          <w:rFonts w:ascii="Verdana" w:hAnsi="Verdana" w:cs="Arial"/>
          <w:sz w:val="24"/>
          <w:szCs w:val="24"/>
        </w:rPr>
        <w:t xml:space="preserve"> </w:t>
      </w:r>
      <w:r w:rsidR="00AE42DA" w:rsidRPr="00F37FDE">
        <w:rPr>
          <w:rFonts w:ascii="Verdana" w:hAnsi="Verdana" w:cs="Arial"/>
          <w:sz w:val="24"/>
          <w:szCs w:val="24"/>
        </w:rPr>
        <w:t>with</w:t>
      </w:r>
      <w:r w:rsidR="000B3C63">
        <w:rPr>
          <w:rFonts w:ascii="Verdana" w:hAnsi="Verdana" w:cs="Arial"/>
          <w:sz w:val="24"/>
          <w:szCs w:val="24"/>
        </w:rPr>
        <w:t xml:space="preserve"> more than </w:t>
      </w:r>
      <w:r w:rsidR="00F20F69">
        <w:rPr>
          <w:rFonts w:ascii="Verdana" w:hAnsi="Verdana" w:cs="Arial"/>
          <w:sz w:val="24"/>
          <w:szCs w:val="24"/>
        </w:rPr>
        <w:t>half (</w:t>
      </w:r>
      <w:r w:rsidR="000B3C63">
        <w:rPr>
          <w:rFonts w:ascii="Verdana" w:hAnsi="Verdana" w:cs="Arial"/>
          <w:sz w:val="24"/>
          <w:szCs w:val="24"/>
        </w:rPr>
        <w:t>5</w:t>
      </w:r>
      <w:r w:rsidR="00FF7A05">
        <w:rPr>
          <w:rFonts w:ascii="Verdana" w:hAnsi="Verdana" w:cs="Arial"/>
          <w:sz w:val="24"/>
          <w:szCs w:val="24"/>
        </w:rPr>
        <w:t>2</w:t>
      </w:r>
      <w:r w:rsidR="00F20F69">
        <w:rPr>
          <w:rFonts w:ascii="Verdana" w:hAnsi="Verdana" w:cs="Arial"/>
          <w:sz w:val="24"/>
          <w:szCs w:val="24"/>
        </w:rPr>
        <w:t>%)</w:t>
      </w:r>
      <w:r w:rsidR="006538C9">
        <w:rPr>
          <w:rFonts w:ascii="Verdana" w:hAnsi="Verdana" w:cs="Arial"/>
          <w:sz w:val="24"/>
          <w:szCs w:val="24"/>
        </w:rPr>
        <w:t xml:space="preserve"> </w:t>
      </w:r>
      <w:r w:rsidR="008C4C79" w:rsidRPr="00F37FDE">
        <w:rPr>
          <w:rFonts w:ascii="Verdana" w:hAnsi="Verdana" w:cs="Arial"/>
          <w:sz w:val="24"/>
          <w:szCs w:val="24"/>
        </w:rPr>
        <w:t>of</w:t>
      </w:r>
      <w:r w:rsidR="00BE4FA8">
        <w:rPr>
          <w:rFonts w:ascii="Verdana" w:hAnsi="Verdana" w:cs="Arial"/>
          <w:sz w:val="24"/>
          <w:szCs w:val="24"/>
        </w:rPr>
        <w:t xml:space="preserve"> households</w:t>
      </w:r>
      <w:r w:rsidR="003D1B6E" w:rsidRPr="00F37FDE">
        <w:rPr>
          <w:rFonts w:ascii="Verdana" w:hAnsi="Verdana" w:cs="Arial"/>
          <w:sz w:val="24"/>
          <w:szCs w:val="24"/>
        </w:rPr>
        <w:t xml:space="preserve"> </w:t>
      </w:r>
      <w:r w:rsidR="008C4C79" w:rsidRPr="00F37FDE">
        <w:rPr>
          <w:rFonts w:ascii="Verdana" w:hAnsi="Verdana" w:cs="Arial"/>
          <w:sz w:val="24"/>
          <w:szCs w:val="24"/>
        </w:rPr>
        <w:t>with</w:t>
      </w:r>
      <w:r w:rsidR="003D1B6E" w:rsidRPr="00F37FDE">
        <w:rPr>
          <w:rFonts w:ascii="Verdana" w:hAnsi="Verdana" w:cs="Arial"/>
          <w:sz w:val="24"/>
          <w:szCs w:val="24"/>
        </w:rPr>
        <w:t xml:space="preserve"> </w:t>
      </w:r>
      <w:r w:rsidR="008C4C79" w:rsidRPr="00F37FDE">
        <w:rPr>
          <w:rFonts w:ascii="Verdana" w:hAnsi="Verdana" w:cs="Arial"/>
          <w:sz w:val="24"/>
          <w:szCs w:val="24"/>
        </w:rPr>
        <w:t>4</w:t>
      </w:r>
      <w:r w:rsidR="003D1B6E" w:rsidRPr="00F37FDE">
        <w:rPr>
          <w:rFonts w:ascii="Verdana" w:hAnsi="Verdana" w:cs="Arial"/>
          <w:sz w:val="24"/>
          <w:szCs w:val="24"/>
        </w:rPr>
        <w:t xml:space="preserve"> </w:t>
      </w:r>
      <w:r w:rsidR="008C4C79" w:rsidRPr="00F37FDE">
        <w:rPr>
          <w:rFonts w:ascii="Verdana" w:hAnsi="Verdana" w:cs="Arial"/>
          <w:sz w:val="24"/>
          <w:szCs w:val="24"/>
        </w:rPr>
        <w:t>or</w:t>
      </w:r>
      <w:r w:rsidR="003D1B6E" w:rsidRPr="00F37FDE">
        <w:rPr>
          <w:rFonts w:ascii="Verdana" w:hAnsi="Verdana" w:cs="Arial"/>
          <w:sz w:val="24"/>
          <w:szCs w:val="24"/>
        </w:rPr>
        <w:t xml:space="preserve"> </w:t>
      </w:r>
      <w:r w:rsidR="008C4C79" w:rsidRPr="00F37FDE">
        <w:rPr>
          <w:rFonts w:ascii="Verdana" w:hAnsi="Verdana" w:cs="Arial"/>
          <w:sz w:val="24"/>
          <w:szCs w:val="24"/>
        </w:rPr>
        <w:t>more</w:t>
      </w:r>
      <w:r w:rsidR="003D1B6E" w:rsidRPr="00F37FDE">
        <w:rPr>
          <w:rFonts w:ascii="Verdana" w:hAnsi="Verdana" w:cs="Arial"/>
          <w:sz w:val="24"/>
          <w:szCs w:val="24"/>
        </w:rPr>
        <w:t xml:space="preserve"> </w:t>
      </w:r>
      <w:r w:rsidR="008C4C79" w:rsidRPr="00F37FDE">
        <w:rPr>
          <w:rFonts w:ascii="Verdana" w:hAnsi="Verdana" w:cs="Arial"/>
          <w:sz w:val="24"/>
          <w:szCs w:val="24"/>
        </w:rPr>
        <w:t>bedrooms</w:t>
      </w:r>
      <w:r w:rsidR="003D1B6E" w:rsidRPr="00F37FDE">
        <w:rPr>
          <w:rFonts w:ascii="Verdana" w:hAnsi="Verdana" w:cs="Arial"/>
          <w:sz w:val="24"/>
          <w:szCs w:val="24"/>
        </w:rPr>
        <w:t xml:space="preserve"> </w:t>
      </w:r>
      <w:r w:rsidR="008C4C79" w:rsidRPr="00F37FDE">
        <w:rPr>
          <w:rFonts w:ascii="Verdana" w:hAnsi="Verdana" w:cs="Arial"/>
          <w:sz w:val="24"/>
          <w:szCs w:val="24"/>
        </w:rPr>
        <w:t>occupied</w:t>
      </w:r>
      <w:r w:rsidR="003D1B6E" w:rsidRPr="00F37FDE">
        <w:rPr>
          <w:rFonts w:ascii="Verdana" w:hAnsi="Verdana" w:cs="Arial"/>
          <w:sz w:val="24"/>
          <w:szCs w:val="24"/>
        </w:rPr>
        <w:t xml:space="preserve"> </w:t>
      </w:r>
      <w:r w:rsidR="008C4C79" w:rsidRPr="00F37FDE">
        <w:rPr>
          <w:rFonts w:ascii="Verdana" w:hAnsi="Verdana" w:cs="Arial"/>
          <w:sz w:val="24"/>
          <w:szCs w:val="24"/>
        </w:rPr>
        <w:t>by</w:t>
      </w:r>
      <w:r w:rsidR="003D1B6E" w:rsidRPr="00F37FDE">
        <w:rPr>
          <w:rFonts w:ascii="Verdana" w:hAnsi="Verdana" w:cs="Arial"/>
          <w:sz w:val="24"/>
          <w:szCs w:val="24"/>
        </w:rPr>
        <w:t xml:space="preserve"> </w:t>
      </w:r>
      <w:r w:rsidR="008C4C79" w:rsidRPr="00F37FDE">
        <w:rPr>
          <w:rFonts w:ascii="Verdana" w:hAnsi="Verdana" w:cs="Arial"/>
          <w:sz w:val="24"/>
          <w:szCs w:val="24"/>
        </w:rPr>
        <w:t>just</w:t>
      </w:r>
      <w:r w:rsidR="003D1B6E" w:rsidRPr="00F37FDE">
        <w:rPr>
          <w:rFonts w:ascii="Verdana" w:hAnsi="Verdana" w:cs="Arial"/>
          <w:sz w:val="24"/>
          <w:szCs w:val="24"/>
        </w:rPr>
        <w:t xml:space="preserve"> </w:t>
      </w:r>
      <w:r w:rsidR="008C4C79" w:rsidRPr="00F37FDE">
        <w:rPr>
          <w:rFonts w:ascii="Verdana" w:hAnsi="Verdana" w:cs="Arial"/>
          <w:sz w:val="24"/>
          <w:szCs w:val="24"/>
        </w:rPr>
        <w:t>one</w:t>
      </w:r>
      <w:r w:rsidR="003D1B6E" w:rsidRPr="00F37FDE">
        <w:rPr>
          <w:rFonts w:ascii="Verdana" w:hAnsi="Verdana" w:cs="Arial"/>
          <w:sz w:val="24"/>
          <w:szCs w:val="24"/>
        </w:rPr>
        <w:t xml:space="preserve"> </w:t>
      </w:r>
      <w:r w:rsidR="008C4C79" w:rsidRPr="00F37FDE">
        <w:rPr>
          <w:rFonts w:ascii="Verdana" w:hAnsi="Verdana" w:cs="Arial"/>
          <w:sz w:val="24"/>
          <w:szCs w:val="24"/>
        </w:rPr>
        <w:t>or</w:t>
      </w:r>
      <w:r w:rsidR="003D1B6E" w:rsidRPr="00F37FDE">
        <w:rPr>
          <w:rFonts w:ascii="Verdana" w:hAnsi="Verdana" w:cs="Arial"/>
          <w:sz w:val="24"/>
          <w:szCs w:val="24"/>
        </w:rPr>
        <w:t xml:space="preserve"> </w:t>
      </w:r>
      <w:r w:rsidR="008C4C79" w:rsidRPr="00F37FDE">
        <w:rPr>
          <w:rFonts w:ascii="Verdana" w:hAnsi="Verdana" w:cs="Arial"/>
          <w:sz w:val="24"/>
          <w:szCs w:val="24"/>
        </w:rPr>
        <w:t>two</w:t>
      </w:r>
      <w:r w:rsidR="003D1B6E" w:rsidRPr="00F37FDE">
        <w:rPr>
          <w:rFonts w:ascii="Verdana" w:hAnsi="Verdana" w:cs="Arial"/>
          <w:sz w:val="24"/>
          <w:szCs w:val="24"/>
        </w:rPr>
        <w:t xml:space="preserve"> </w:t>
      </w:r>
      <w:r w:rsidR="008C4C79" w:rsidRPr="00F37FDE">
        <w:rPr>
          <w:rFonts w:ascii="Verdana" w:hAnsi="Verdana" w:cs="Arial"/>
          <w:sz w:val="24"/>
          <w:szCs w:val="24"/>
        </w:rPr>
        <w:t>people</w:t>
      </w:r>
      <w:r w:rsidR="00F20F69">
        <w:rPr>
          <w:rFonts w:ascii="Verdana" w:hAnsi="Verdana" w:cs="Arial"/>
          <w:sz w:val="24"/>
          <w:szCs w:val="24"/>
        </w:rPr>
        <w:t>.</w:t>
      </w:r>
      <w:r w:rsidR="004055DB">
        <w:rPr>
          <w:rFonts w:ascii="Verdana" w:hAnsi="Verdana" w:cs="Arial"/>
          <w:sz w:val="24"/>
          <w:szCs w:val="24"/>
        </w:rPr>
        <w:t xml:space="preserve"> This is above </w:t>
      </w:r>
      <w:r w:rsidR="00887B8D">
        <w:rPr>
          <w:rFonts w:ascii="Verdana" w:hAnsi="Verdana" w:cs="Arial"/>
          <w:sz w:val="24"/>
          <w:szCs w:val="24"/>
        </w:rPr>
        <w:t>borough</w:t>
      </w:r>
      <w:r w:rsidR="004055DB">
        <w:rPr>
          <w:rFonts w:ascii="Verdana" w:hAnsi="Verdana" w:cs="Arial"/>
          <w:sz w:val="24"/>
          <w:szCs w:val="24"/>
        </w:rPr>
        <w:t xml:space="preserve"> (4</w:t>
      </w:r>
      <w:r w:rsidR="00FF7A05">
        <w:rPr>
          <w:rFonts w:ascii="Verdana" w:hAnsi="Verdana" w:cs="Arial"/>
          <w:sz w:val="24"/>
          <w:szCs w:val="24"/>
        </w:rPr>
        <w:t>4</w:t>
      </w:r>
      <w:r w:rsidR="004055DB">
        <w:rPr>
          <w:rFonts w:ascii="Verdana" w:hAnsi="Verdana" w:cs="Arial"/>
          <w:sz w:val="24"/>
          <w:szCs w:val="24"/>
        </w:rPr>
        <w:t>%), regional (43%) and England (41%) rates.</w:t>
      </w:r>
    </w:p>
    <w:p w14:paraId="6120AB97" w14:textId="77777777" w:rsidR="00600F7E" w:rsidRDefault="00600F7E" w:rsidP="00B36C63">
      <w:pPr>
        <w:pStyle w:val="NoSpacing"/>
        <w:widowControl w:val="0"/>
        <w:jc w:val="both"/>
        <w:rPr>
          <w:rFonts w:ascii="Verdana" w:hAnsi="Verdana" w:cs="Arial"/>
          <w:sz w:val="18"/>
          <w:szCs w:val="24"/>
        </w:rPr>
      </w:pPr>
    </w:p>
    <w:p w14:paraId="3D63A6F5" w14:textId="77777777" w:rsidR="004A093F" w:rsidRPr="00F37FDE" w:rsidRDefault="004A093F" w:rsidP="00BE79F2">
      <w:pPr>
        <w:pStyle w:val="Caption"/>
        <w:widowControl w:val="0"/>
        <w:spacing w:after="120"/>
        <w:jc w:val="center"/>
        <w:rPr>
          <w:rFonts w:ascii="Verdana" w:hAnsi="Verdana" w:cs="Arial"/>
          <w:b/>
          <w:sz w:val="22"/>
          <w:szCs w:val="24"/>
        </w:rPr>
      </w:pPr>
      <w:r w:rsidRPr="00F37FDE">
        <w:rPr>
          <w:rFonts w:ascii="Verdana" w:hAnsi="Verdana" w:cs="Arial"/>
          <w:b/>
          <w:sz w:val="22"/>
          <w:szCs w:val="24"/>
        </w:rPr>
        <w:t>Table</w:t>
      </w:r>
      <w:r w:rsidR="003D1B6E" w:rsidRPr="00F37FDE">
        <w:rPr>
          <w:rFonts w:ascii="Verdana" w:hAnsi="Verdana" w:cs="Arial"/>
          <w:b/>
          <w:sz w:val="22"/>
          <w:szCs w:val="24"/>
        </w:rPr>
        <w:t xml:space="preserve"> </w:t>
      </w:r>
      <w:r w:rsidRPr="00F37FDE">
        <w:rPr>
          <w:rFonts w:ascii="Verdana" w:hAnsi="Verdana" w:cs="Arial"/>
          <w:b/>
          <w:sz w:val="22"/>
          <w:szCs w:val="24"/>
        </w:rPr>
        <w:fldChar w:fldCharType="begin"/>
      </w:r>
      <w:r w:rsidRPr="00F37FDE">
        <w:rPr>
          <w:rFonts w:ascii="Verdana" w:hAnsi="Verdana" w:cs="Arial"/>
          <w:b/>
          <w:sz w:val="22"/>
          <w:szCs w:val="24"/>
        </w:rPr>
        <w:instrText xml:space="preserve"> SEQ Table \* ARABIC </w:instrText>
      </w:r>
      <w:r w:rsidRPr="00F37FDE">
        <w:rPr>
          <w:rFonts w:ascii="Verdana" w:hAnsi="Verdana" w:cs="Arial"/>
          <w:b/>
          <w:sz w:val="22"/>
          <w:szCs w:val="24"/>
        </w:rPr>
        <w:fldChar w:fldCharType="separate"/>
      </w:r>
      <w:r w:rsidR="00CA4EB9">
        <w:rPr>
          <w:rFonts w:ascii="Verdana" w:hAnsi="Verdana" w:cs="Arial"/>
          <w:b/>
          <w:noProof/>
          <w:sz w:val="22"/>
          <w:szCs w:val="24"/>
        </w:rPr>
        <w:t>6</w:t>
      </w:r>
      <w:r w:rsidRPr="00F37FDE">
        <w:rPr>
          <w:rFonts w:ascii="Verdana" w:hAnsi="Verdana" w:cs="Arial"/>
          <w:b/>
          <w:sz w:val="22"/>
          <w:szCs w:val="24"/>
        </w:rPr>
        <w:fldChar w:fldCharType="end"/>
      </w:r>
      <w:r w:rsidR="003D1B6E" w:rsidRPr="00F37FDE">
        <w:rPr>
          <w:rFonts w:ascii="Verdana" w:hAnsi="Verdana" w:cs="Arial"/>
          <w:b/>
          <w:sz w:val="22"/>
          <w:szCs w:val="24"/>
        </w:rPr>
        <w:t xml:space="preserve"> </w:t>
      </w:r>
      <w:r w:rsidRPr="00F37FDE">
        <w:rPr>
          <w:rFonts w:ascii="Verdana" w:hAnsi="Verdana" w:cs="Arial"/>
          <w:b/>
          <w:sz w:val="22"/>
          <w:szCs w:val="24"/>
        </w:rPr>
        <w:t>Household</w:t>
      </w:r>
      <w:r w:rsidR="003D1B6E" w:rsidRPr="00F37FDE">
        <w:rPr>
          <w:rFonts w:ascii="Verdana" w:hAnsi="Verdana" w:cs="Arial"/>
          <w:b/>
          <w:sz w:val="22"/>
          <w:szCs w:val="24"/>
        </w:rPr>
        <w:t xml:space="preserve"> </w:t>
      </w:r>
      <w:r w:rsidRPr="00F37FDE">
        <w:rPr>
          <w:rFonts w:ascii="Verdana" w:hAnsi="Verdana" w:cs="Arial"/>
          <w:b/>
          <w:sz w:val="22"/>
          <w:szCs w:val="24"/>
        </w:rPr>
        <w:t>with</w:t>
      </w:r>
      <w:r w:rsidR="003D1B6E" w:rsidRPr="00F37FDE">
        <w:rPr>
          <w:rFonts w:ascii="Verdana" w:hAnsi="Verdana" w:cs="Arial"/>
          <w:b/>
          <w:sz w:val="22"/>
          <w:szCs w:val="24"/>
        </w:rPr>
        <w:t xml:space="preserve"> </w:t>
      </w:r>
      <w:r w:rsidRPr="00F37FDE">
        <w:rPr>
          <w:rFonts w:ascii="Verdana" w:hAnsi="Verdana" w:cs="Arial"/>
          <w:b/>
          <w:sz w:val="22"/>
          <w:szCs w:val="24"/>
        </w:rPr>
        <w:t>4</w:t>
      </w:r>
      <w:r w:rsidR="003D1B6E" w:rsidRPr="00F37FDE">
        <w:rPr>
          <w:rFonts w:ascii="Verdana" w:hAnsi="Verdana" w:cs="Arial"/>
          <w:b/>
          <w:sz w:val="22"/>
          <w:szCs w:val="24"/>
        </w:rPr>
        <w:t xml:space="preserve"> </w:t>
      </w:r>
      <w:r w:rsidRPr="00F37FDE">
        <w:rPr>
          <w:rFonts w:ascii="Verdana" w:hAnsi="Verdana" w:cs="Arial"/>
          <w:b/>
          <w:sz w:val="22"/>
          <w:szCs w:val="24"/>
        </w:rPr>
        <w:t>or</w:t>
      </w:r>
      <w:r w:rsidR="003D1B6E" w:rsidRPr="00F37FDE">
        <w:rPr>
          <w:rFonts w:ascii="Verdana" w:hAnsi="Verdana" w:cs="Arial"/>
          <w:b/>
          <w:sz w:val="22"/>
          <w:szCs w:val="24"/>
        </w:rPr>
        <w:t xml:space="preserve"> </w:t>
      </w:r>
      <w:r w:rsidRPr="00F37FDE">
        <w:rPr>
          <w:rFonts w:ascii="Verdana" w:hAnsi="Verdana" w:cs="Arial"/>
          <w:b/>
          <w:sz w:val="22"/>
          <w:szCs w:val="24"/>
        </w:rPr>
        <w:t>more</w:t>
      </w:r>
      <w:r w:rsidR="003D1B6E" w:rsidRPr="00F37FDE">
        <w:rPr>
          <w:rFonts w:ascii="Verdana" w:hAnsi="Verdana" w:cs="Arial"/>
          <w:b/>
          <w:sz w:val="22"/>
          <w:szCs w:val="24"/>
        </w:rPr>
        <w:t xml:space="preserve"> </w:t>
      </w:r>
      <w:r w:rsidRPr="00F37FDE">
        <w:rPr>
          <w:rFonts w:ascii="Verdana" w:hAnsi="Verdana" w:cs="Arial"/>
          <w:b/>
          <w:sz w:val="22"/>
          <w:szCs w:val="24"/>
        </w:rPr>
        <w:t>bedrooms</w:t>
      </w:r>
      <w:r w:rsidR="003D1B6E" w:rsidRPr="00F37FDE">
        <w:rPr>
          <w:rFonts w:ascii="Verdana" w:hAnsi="Verdana" w:cs="Arial"/>
          <w:b/>
          <w:sz w:val="22"/>
          <w:szCs w:val="24"/>
        </w:rPr>
        <w:t xml:space="preserve"> </w:t>
      </w:r>
      <w:r w:rsidRPr="00F37FDE">
        <w:rPr>
          <w:rFonts w:ascii="Verdana" w:hAnsi="Verdana" w:cs="Arial"/>
          <w:b/>
          <w:sz w:val="22"/>
          <w:szCs w:val="24"/>
        </w:rPr>
        <w:t>by</w:t>
      </w:r>
      <w:r w:rsidR="003D1B6E" w:rsidRPr="00F37FDE">
        <w:rPr>
          <w:rFonts w:ascii="Verdana" w:hAnsi="Verdana" w:cs="Arial"/>
          <w:b/>
          <w:sz w:val="22"/>
          <w:szCs w:val="24"/>
        </w:rPr>
        <w:t xml:space="preserve"> </w:t>
      </w:r>
      <w:r w:rsidRPr="00F37FDE">
        <w:rPr>
          <w:rFonts w:ascii="Verdana" w:hAnsi="Verdana" w:cs="Arial"/>
          <w:b/>
          <w:sz w:val="22"/>
          <w:szCs w:val="24"/>
        </w:rPr>
        <w:t>household</w:t>
      </w:r>
      <w:r w:rsidR="003D1B6E" w:rsidRPr="00F37FDE">
        <w:rPr>
          <w:rFonts w:ascii="Verdana" w:hAnsi="Verdana" w:cs="Arial"/>
          <w:b/>
          <w:sz w:val="22"/>
          <w:szCs w:val="24"/>
        </w:rPr>
        <w:t xml:space="preserve"> </w:t>
      </w:r>
      <w:r w:rsidRPr="00F37FDE">
        <w:rPr>
          <w:rFonts w:ascii="Verdana" w:hAnsi="Verdana" w:cs="Arial"/>
          <w:b/>
          <w:sz w:val="22"/>
          <w:szCs w:val="24"/>
        </w:rPr>
        <w:t>size,</w:t>
      </w:r>
      <w:r w:rsidR="003D1B6E" w:rsidRPr="00F37FDE">
        <w:rPr>
          <w:rFonts w:ascii="Verdana" w:hAnsi="Verdana" w:cs="Arial"/>
          <w:b/>
          <w:sz w:val="22"/>
          <w:szCs w:val="24"/>
        </w:rPr>
        <w:t xml:space="preserve"> </w:t>
      </w:r>
      <w:r w:rsidRPr="00F37FDE">
        <w:rPr>
          <w:rFonts w:ascii="Verdana" w:hAnsi="Verdana" w:cs="Arial"/>
          <w:b/>
          <w:sz w:val="22"/>
          <w:szCs w:val="24"/>
        </w:rPr>
        <w:t>2011</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949"/>
        <w:gridCol w:w="964"/>
        <w:gridCol w:w="1588"/>
        <w:gridCol w:w="1337"/>
        <w:gridCol w:w="1134"/>
      </w:tblGrid>
      <w:tr w:rsidR="00A25FFE" w:rsidRPr="00F37FDE" w14:paraId="5086EFDB" w14:textId="77777777" w:rsidTr="00230BDE">
        <w:trPr>
          <w:trHeight w:val="288"/>
          <w:jc w:val="center"/>
        </w:trPr>
        <w:tc>
          <w:tcPr>
            <w:tcW w:w="33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308DC72" w14:textId="77777777" w:rsidR="00A25FFE" w:rsidRPr="00F37FDE" w:rsidRDefault="00A25FFE" w:rsidP="001F3E72">
            <w:pPr>
              <w:spacing w:after="0" w:line="240" w:lineRule="auto"/>
              <w:rPr>
                <w:rFonts w:ascii="Verdana" w:hAnsi="Verdana" w:cs="Arial"/>
                <w:sz w:val="20"/>
                <w:szCs w:val="20"/>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5FDDA47" w14:textId="77777777" w:rsidR="00A25FFE" w:rsidRPr="00F37FDE" w:rsidRDefault="00F64A4F" w:rsidP="001F3E72">
            <w:pPr>
              <w:spacing w:after="0" w:line="240" w:lineRule="auto"/>
              <w:jc w:val="center"/>
              <w:rPr>
                <w:rFonts w:ascii="Verdana" w:eastAsia="Times New Roman" w:hAnsi="Verdana" w:cs="Arial"/>
                <w:b/>
                <w:bCs/>
                <w:sz w:val="20"/>
                <w:szCs w:val="20"/>
                <w:lang w:eastAsia="en-GB"/>
              </w:rPr>
            </w:pPr>
            <w:r>
              <w:rPr>
                <w:rFonts w:ascii="Verdana" w:eastAsia="Times New Roman" w:hAnsi="Verdana" w:cs="Arial"/>
                <w:b/>
                <w:bCs/>
                <w:sz w:val="20"/>
                <w:szCs w:val="20"/>
                <w:lang w:eastAsia="en-GB"/>
              </w:rPr>
              <w:t>Blackfordby</w:t>
            </w:r>
          </w:p>
        </w:tc>
        <w:tc>
          <w:tcPr>
            <w:tcW w:w="158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6ABBFF8" w14:textId="77777777" w:rsidR="00A25FFE" w:rsidRPr="00F37FDE" w:rsidRDefault="00F64A4F" w:rsidP="001F3E72">
            <w:pPr>
              <w:spacing w:after="0" w:line="240" w:lineRule="auto"/>
              <w:jc w:val="center"/>
              <w:rPr>
                <w:rFonts w:ascii="Verdana" w:eastAsia="Times New Roman" w:hAnsi="Verdana" w:cs="Arial"/>
                <w:b/>
                <w:color w:val="000000"/>
                <w:sz w:val="20"/>
                <w:szCs w:val="20"/>
                <w:lang w:eastAsia="en-GB"/>
              </w:rPr>
            </w:pPr>
            <w:r>
              <w:rPr>
                <w:rFonts w:ascii="Verdana" w:eastAsia="Times New Roman" w:hAnsi="Verdana" w:cs="Arial"/>
                <w:b/>
                <w:color w:val="000000"/>
                <w:sz w:val="20"/>
                <w:szCs w:val="20"/>
                <w:lang w:eastAsia="en-GB"/>
              </w:rPr>
              <w:t>NW Leics</w:t>
            </w:r>
          </w:p>
        </w:tc>
        <w:tc>
          <w:tcPr>
            <w:tcW w:w="133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5F04F68" w14:textId="77777777" w:rsidR="00A25FFE" w:rsidRPr="00F37FDE" w:rsidRDefault="00A25FFE" w:rsidP="001F3E72">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East Midlands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F23191C" w14:textId="77777777" w:rsidR="00A25FFE" w:rsidRPr="00F37FDE" w:rsidRDefault="00A25FFE" w:rsidP="001F3E72">
            <w:pPr>
              <w:spacing w:after="0" w:line="240" w:lineRule="auto"/>
              <w:jc w:val="center"/>
              <w:rPr>
                <w:rFonts w:ascii="Verdana" w:eastAsia="Times New Roman" w:hAnsi="Verdana" w:cs="Arial"/>
                <w:b/>
                <w:color w:val="000000"/>
                <w:sz w:val="20"/>
                <w:szCs w:val="20"/>
                <w:lang w:eastAsia="en-GB"/>
              </w:rPr>
            </w:pPr>
            <w:r w:rsidRPr="00F37FDE">
              <w:rPr>
                <w:rFonts w:ascii="Verdana" w:eastAsia="Times New Roman" w:hAnsi="Verdana" w:cs="Arial"/>
                <w:b/>
                <w:color w:val="000000"/>
                <w:sz w:val="20"/>
                <w:szCs w:val="20"/>
                <w:lang w:eastAsia="en-GB"/>
              </w:rPr>
              <w:t>Eng</w:t>
            </w:r>
            <w:r w:rsidR="001117A4" w:rsidRPr="00F37FDE">
              <w:rPr>
                <w:rFonts w:ascii="Verdana" w:eastAsia="Times New Roman" w:hAnsi="Verdana" w:cs="Arial"/>
                <w:b/>
                <w:color w:val="000000"/>
                <w:sz w:val="20"/>
                <w:szCs w:val="20"/>
                <w:lang w:eastAsia="en-GB"/>
              </w:rPr>
              <w:t>land</w:t>
            </w:r>
          </w:p>
        </w:tc>
      </w:tr>
      <w:tr w:rsidR="00FF7A05" w:rsidRPr="00F37FDE" w14:paraId="4C8AB218" w14:textId="77777777" w:rsidTr="00BA1A86">
        <w:trPr>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63AC9699" w14:textId="77777777" w:rsidR="00FF7A05" w:rsidRPr="00F37FDE" w:rsidRDefault="00FF7A05" w:rsidP="00FF7A05">
            <w:pPr>
              <w:spacing w:after="0" w:line="240" w:lineRule="auto"/>
              <w:jc w:val="right"/>
              <w:rPr>
                <w:rFonts w:ascii="Verdana" w:eastAsia="Times New Roman" w:hAnsi="Verdana" w:cs="Arial"/>
                <w:sz w:val="20"/>
                <w:szCs w:val="20"/>
                <w:lang w:eastAsia="en-GB"/>
              </w:rPr>
            </w:pPr>
            <w:r w:rsidRPr="00F37FDE">
              <w:rPr>
                <w:rFonts w:ascii="Verdana" w:eastAsia="Times New Roman" w:hAnsi="Verdana" w:cs="Arial"/>
                <w:sz w:val="20"/>
                <w:szCs w:val="20"/>
                <w:lang w:eastAsia="en-GB"/>
              </w:rPr>
              <w:t>H</w:t>
            </w:r>
            <w:r>
              <w:rPr>
                <w:rFonts w:ascii="Verdana" w:eastAsia="Times New Roman" w:hAnsi="Verdana" w:cs="Arial"/>
                <w:sz w:val="20"/>
                <w:szCs w:val="20"/>
                <w:lang w:eastAsia="en-GB"/>
              </w:rPr>
              <w:t>Hs</w:t>
            </w:r>
            <w:r w:rsidRPr="00F37FDE">
              <w:rPr>
                <w:rFonts w:ascii="Verdana" w:eastAsia="Times New Roman" w:hAnsi="Verdana" w:cs="Arial"/>
                <w:sz w:val="20"/>
                <w:szCs w:val="20"/>
                <w:lang w:eastAsia="en-GB"/>
              </w:rPr>
              <w:t xml:space="preserve"> with 4 or more bedrooms</w:t>
            </w:r>
          </w:p>
        </w:tc>
        <w:tc>
          <w:tcPr>
            <w:tcW w:w="949" w:type="dxa"/>
            <w:tcBorders>
              <w:top w:val="single" w:sz="4" w:space="0" w:color="auto"/>
              <w:left w:val="single" w:sz="4" w:space="0" w:color="auto"/>
              <w:bottom w:val="single" w:sz="4" w:space="0" w:color="auto"/>
              <w:right w:val="single" w:sz="4" w:space="0" w:color="auto"/>
            </w:tcBorders>
            <w:noWrap/>
          </w:tcPr>
          <w:p w14:paraId="6F1A56F4" w14:textId="77777777" w:rsidR="00FF7A05" w:rsidRPr="00FF7A05" w:rsidRDefault="00FF7A05" w:rsidP="00FF7A05">
            <w:pPr>
              <w:tabs>
                <w:tab w:val="decimal" w:pos="480"/>
              </w:tabs>
              <w:spacing w:after="0" w:line="240" w:lineRule="auto"/>
              <w:rPr>
                <w:rFonts w:ascii="Verdana" w:hAnsi="Verdana" w:cs="Arial"/>
                <w:sz w:val="20"/>
                <w:szCs w:val="20"/>
              </w:rPr>
            </w:pPr>
            <w:r w:rsidRPr="00FF7A05">
              <w:rPr>
                <w:rFonts w:ascii="Verdana" w:hAnsi="Verdana" w:cs="Arial"/>
                <w:sz w:val="20"/>
                <w:szCs w:val="20"/>
              </w:rPr>
              <w:t>129</w:t>
            </w:r>
          </w:p>
        </w:tc>
        <w:tc>
          <w:tcPr>
            <w:tcW w:w="964" w:type="dxa"/>
            <w:tcBorders>
              <w:top w:val="single" w:sz="4" w:space="0" w:color="auto"/>
              <w:left w:val="single" w:sz="4" w:space="0" w:color="auto"/>
              <w:bottom w:val="single" w:sz="4" w:space="0" w:color="auto"/>
              <w:right w:val="single" w:sz="4" w:space="0" w:color="auto"/>
            </w:tcBorders>
            <w:noWrap/>
            <w:vAlign w:val="center"/>
          </w:tcPr>
          <w:p w14:paraId="6086B3A4" w14:textId="77777777" w:rsidR="00FF7A05" w:rsidRPr="00FF7A05" w:rsidRDefault="00FF7A05" w:rsidP="00FF7A05">
            <w:pPr>
              <w:tabs>
                <w:tab w:val="decimal" w:pos="430"/>
              </w:tabs>
              <w:spacing w:after="0" w:line="240" w:lineRule="auto"/>
              <w:rPr>
                <w:rFonts w:ascii="Verdana" w:hAnsi="Verdana" w:cs="Calibri"/>
                <w:color w:val="000000"/>
                <w:sz w:val="20"/>
                <w:szCs w:val="20"/>
              </w:rPr>
            </w:pPr>
            <w:r w:rsidRPr="00FF7A05">
              <w:rPr>
                <w:rFonts w:ascii="Verdana" w:hAnsi="Verdana" w:cs="Calibri"/>
                <w:color w:val="000000"/>
                <w:sz w:val="20"/>
                <w:szCs w:val="20"/>
              </w:rPr>
              <w:t>100.0</w:t>
            </w:r>
          </w:p>
        </w:tc>
        <w:tc>
          <w:tcPr>
            <w:tcW w:w="1588" w:type="dxa"/>
            <w:tcBorders>
              <w:top w:val="single" w:sz="4" w:space="0" w:color="auto"/>
              <w:left w:val="single" w:sz="4" w:space="0" w:color="auto"/>
              <w:bottom w:val="single" w:sz="4" w:space="0" w:color="auto"/>
              <w:right w:val="single" w:sz="4" w:space="0" w:color="auto"/>
            </w:tcBorders>
            <w:noWrap/>
            <w:vAlign w:val="center"/>
          </w:tcPr>
          <w:p w14:paraId="2AA69516" w14:textId="77777777" w:rsidR="00FF7A05" w:rsidRDefault="00FF7A05" w:rsidP="00FF7A05">
            <w:pPr>
              <w:tabs>
                <w:tab w:val="decimal" w:pos="684"/>
              </w:tabs>
              <w:spacing w:after="0" w:line="240" w:lineRule="auto"/>
              <w:rPr>
                <w:rFonts w:ascii="Verdana" w:hAnsi="Verdana" w:cs="Calibri"/>
                <w:color w:val="000000"/>
                <w:sz w:val="20"/>
                <w:szCs w:val="20"/>
              </w:rPr>
            </w:pPr>
            <w:r>
              <w:rPr>
                <w:rFonts w:ascii="Verdana" w:hAnsi="Verdana" w:cs="Calibri"/>
                <w:color w:val="000000"/>
                <w:sz w:val="20"/>
                <w:szCs w:val="20"/>
              </w:rPr>
              <w:t>100.0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53B24628" w14:textId="77777777" w:rsidR="00FF7A05" w:rsidRPr="00F37FDE" w:rsidRDefault="00FF7A05" w:rsidP="00FF7A05">
            <w:pPr>
              <w:tabs>
                <w:tab w:val="decimal" w:pos="653"/>
              </w:tabs>
              <w:spacing w:after="0" w:line="240" w:lineRule="auto"/>
              <w:rPr>
                <w:rFonts w:ascii="Verdana" w:eastAsia="Times New Roman" w:hAnsi="Verdana" w:cs="Arial"/>
                <w:color w:val="000000"/>
                <w:sz w:val="20"/>
                <w:szCs w:val="20"/>
                <w:lang w:eastAsia="en-GB"/>
              </w:rPr>
            </w:pPr>
            <w:r w:rsidRPr="00F37FDE">
              <w:rPr>
                <w:rFonts w:ascii="Verdana" w:eastAsia="Times New Roman" w:hAnsi="Verdana" w:cs="Arial"/>
                <w:color w:val="000000"/>
                <w:sz w:val="20"/>
                <w:szCs w:val="20"/>
                <w:lang w:eastAsia="en-GB"/>
              </w:rPr>
              <w:t>100.0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93A4C36" w14:textId="77777777" w:rsidR="00FF7A05" w:rsidRPr="00F37FDE" w:rsidRDefault="00FF7A05" w:rsidP="00FF7A05">
            <w:pPr>
              <w:tabs>
                <w:tab w:val="decimal" w:pos="514"/>
              </w:tabs>
              <w:spacing w:after="0" w:line="240" w:lineRule="auto"/>
              <w:rPr>
                <w:rFonts w:ascii="Verdana" w:eastAsia="Times New Roman" w:hAnsi="Verdana" w:cs="Arial"/>
                <w:color w:val="000000"/>
                <w:sz w:val="20"/>
                <w:szCs w:val="20"/>
                <w:lang w:eastAsia="en-GB"/>
              </w:rPr>
            </w:pPr>
            <w:r w:rsidRPr="00F37FDE">
              <w:rPr>
                <w:rFonts w:ascii="Verdana" w:eastAsia="Times New Roman" w:hAnsi="Verdana" w:cs="Arial"/>
                <w:color w:val="000000"/>
                <w:sz w:val="20"/>
                <w:szCs w:val="20"/>
                <w:lang w:eastAsia="en-GB"/>
              </w:rPr>
              <w:t>100.0</w:t>
            </w:r>
          </w:p>
        </w:tc>
      </w:tr>
      <w:tr w:rsidR="00FF7A05" w:rsidRPr="00F37FDE" w14:paraId="2534B512" w14:textId="77777777" w:rsidTr="00BA1A86">
        <w:trPr>
          <w:trHeight w:val="288"/>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7FDF33EF" w14:textId="77777777" w:rsidR="00FF7A05" w:rsidRPr="00F37FDE" w:rsidRDefault="00FF7A05" w:rsidP="00FF7A05">
            <w:pPr>
              <w:spacing w:after="0" w:line="240" w:lineRule="auto"/>
              <w:jc w:val="right"/>
              <w:rPr>
                <w:rFonts w:ascii="Verdana" w:eastAsia="Times New Roman" w:hAnsi="Verdana" w:cs="Arial"/>
                <w:sz w:val="20"/>
                <w:szCs w:val="20"/>
                <w:lang w:eastAsia="en-GB"/>
              </w:rPr>
            </w:pPr>
            <w:r w:rsidRPr="00F37FDE">
              <w:rPr>
                <w:rFonts w:ascii="Verdana" w:eastAsia="Times New Roman" w:hAnsi="Verdana" w:cs="Arial"/>
                <w:sz w:val="20"/>
                <w:szCs w:val="20"/>
                <w:lang w:eastAsia="en-GB"/>
              </w:rPr>
              <w:t>1 person in household</w:t>
            </w:r>
          </w:p>
        </w:tc>
        <w:tc>
          <w:tcPr>
            <w:tcW w:w="949" w:type="dxa"/>
            <w:tcBorders>
              <w:top w:val="single" w:sz="4" w:space="0" w:color="auto"/>
              <w:left w:val="single" w:sz="4" w:space="0" w:color="auto"/>
              <w:bottom w:val="single" w:sz="4" w:space="0" w:color="auto"/>
              <w:right w:val="single" w:sz="4" w:space="0" w:color="auto"/>
            </w:tcBorders>
            <w:noWrap/>
          </w:tcPr>
          <w:p w14:paraId="30D84346" w14:textId="77777777" w:rsidR="00FF7A05" w:rsidRPr="00FF7A05" w:rsidRDefault="00FF7A05" w:rsidP="00FF7A05">
            <w:pPr>
              <w:tabs>
                <w:tab w:val="decimal" w:pos="480"/>
              </w:tabs>
              <w:spacing w:after="0" w:line="240" w:lineRule="auto"/>
              <w:rPr>
                <w:rFonts w:ascii="Verdana" w:hAnsi="Verdana" w:cs="Arial"/>
                <w:sz w:val="20"/>
                <w:szCs w:val="20"/>
              </w:rPr>
            </w:pPr>
            <w:r w:rsidRPr="00FF7A05">
              <w:rPr>
                <w:rFonts w:ascii="Verdana" w:hAnsi="Verdana" w:cs="Arial"/>
                <w:sz w:val="20"/>
                <w:szCs w:val="20"/>
              </w:rPr>
              <w:t>18</w:t>
            </w:r>
          </w:p>
        </w:tc>
        <w:tc>
          <w:tcPr>
            <w:tcW w:w="964" w:type="dxa"/>
            <w:tcBorders>
              <w:top w:val="single" w:sz="4" w:space="0" w:color="auto"/>
              <w:left w:val="single" w:sz="4" w:space="0" w:color="auto"/>
              <w:bottom w:val="single" w:sz="4" w:space="0" w:color="auto"/>
              <w:right w:val="single" w:sz="4" w:space="0" w:color="auto"/>
            </w:tcBorders>
            <w:noWrap/>
            <w:vAlign w:val="center"/>
          </w:tcPr>
          <w:p w14:paraId="73999A2F" w14:textId="77777777" w:rsidR="00FF7A05" w:rsidRPr="00FF7A05" w:rsidRDefault="00FF7A05" w:rsidP="00FF7A05">
            <w:pPr>
              <w:tabs>
                <w:tab w:val="decimal" w:pos="430"/>
              </w:tabs>
              <w:spacing w:after="0" w:line="240" w:lineRule="auto"/>
              <w:rPr>
                <w:rFonts w:ascii="Verdana" w:hAnsi="Verdana" w:cs="Calibri"/>
                <w:color w:val="000000"/>
                <w:sz w:val="20"/>
                <w:szCs w:val="20"/>
              </w:rPr>
            </w:pPr>
            <w:r w:rsidRPr="00FF7A05">
              <w:rPr>
                <w:rFonts w:ascii="Verdana" w:hAnsi="Verdana" w:cs="Calibri"/>
                <w:color w:val="000000"/>
                <w:sz w:val="20"/>
                <w:szCs w:val="20"/>
              </w:rPr>
              <w:t>14.0</w:t>
            </w:r>
          </w:p>
        </w:tc>
        <w:tc>
          <w:tcPr>
            <w:tcW w:w="1588" w:type="dxa"/>
            <w:tcBorders>
              <w:top w:val="single" w:sz="4" w:space="0" w:color="auto"/>
              <w:left w:val="single" w:sz="4" w:space="0" w:color="auto"/>
              <w:bottom w:val="single" w:sz="4" w:space="0" w:color="auto"/>
              <w:right w:val="single" w:sz="4" w:space="0" w:color="auto"/>
            </w:tcBorders>
            <w:noWrap/>
            <w:vAlign w:val="center"/>
          </w:tcPr>
          <w:p w14:paraId="66BD0165" w14:textId="77777777" w:rsidR="00FF7A05" w:rsidRDefault="00FF7A05" w:rsidP="00FF7A05">
            <w:pPr>
              <w:tabs>
                <w:tab w:val="decimal" w:pos="684"/>
              </w:tabs>
              <w:spacing w:after="0" w:line="240" w:lineRule="auto"/>
              <w:rPr>
                <w:rFonts w:ascii="Verdana" w:hAnsi="Verdana" w:cs="Calibri"/>
                <w:color w:val="000000"/>
                <w:sz w:val="20"/>
                <w:szCs w:val="20"/>
              </w:rPr>
            </w:pPr>
            <w:r>
              <w:rPr>
                <w:rFonts w:ascii="Verdana" w:hAnsi="Verdana" w:cs="Calibri"/>
                <w:color w:val="000000"/>
                <w:sz w:val="20"/>
                <w:szCs w:val="20"/>
              </w:rPr>
              <w:t>10.4</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7BEB7780" w14:textId="77777777" w:rsidR="00FF7A05" w:rsidRPr="00F37FDE" w:rsidRDefault="00FF7A05" w:rsidP="00FF7A05">
            <w:pPr>
              <w:tabs>
                <w:tab w:val="decimal" w:pos="653"/>
              </w:tabs>
              <w:spacing w:after="0" w:line="240" w:lineRule="auto"/>
              <w:rPr>
                <w:rFonts w:ascii="Verdana" w:eastAsia="Times New Roman" w:hAnsi="Verdana" w:cs="Arial"/>
                <w:color w:val="000000"/>
                <w:sz w:val="20"/>
                <w:szCs w:val="20"/>
                <w:lang w:eastAsia="en-GB"/>
              </w:rPr>
            </w:pPr>
            <w:r w:rsidRPr="00F37FDE">
              <w:rPr>
                <w:rFonts w:ascii="Verdana" w:eastAsia="Times New Roman" w:hAnsi="Verdana" w:cs="Arial"/>
                <w:color w:val="000000"/>
                <w:sz w:val="20"/>
                <w:szCs w:val="20"/>
                <w:lang w:eastAsia="en-GB"/>
              </w:rPr>
              <w:t>10.4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354545A" w14:textId="77777777" w:rsidR="00FF7A05" w:rsidRPr="00F37FDE" w:rsidRDefault="00FF7A05" w:rsidP="00FF7A05">
            <w:pPr>
              <w:tabs>
                <w:tab w:val="decimal" w:pos="514"/>
              </w:tabs>
              <w:spacing w:after="0" w:line="240" w:lineRule="auto"/>
              <w:rPr>
                <w:rFonts w:ascii="Verdana" w:eastAsia="Times New Roman" w:hAnsi="Verdana" w:cs="Arial"/>
                <w:color w:val="000000"/>
                <w:sz w:val="20"/>
                <w:szCs w:val="20"/>
                <w:lang w:eastAsia="en-GB"/>
              </w:rPr>
            </w:pPr>
            <w:r w:rsidRPr="00F37FDE">
              <w:rPr>
                <w:rFonts w:ascii="Verdana" w:eastAsia="Times New Roman" w:hAnsi="Verdana" w:cs="Arial"/>
                <w:color w:val="000000"/>
                <w:sz w:val="20"/>
                <w:szCs w:val="20"/>
                <w:lang w:eastAsia="en-GB"/>
              </w:rPr>
              <w:t>10.6</w:t>
            </w:r>
          </w:p>
        </w:tc>
      </w:tr>
      <w:tr w:rsidR="00FF7A05" w:rsidRPr="00F37FDE" w14:paraId="58397B9C" w14:textId="77777777" w:rsidTr="00BA1A86">
        <w:trPr>
          <w:trHeight w:val="288"/>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72134C1A" w14:textId="77777777" w:rsidR="00FF7A05" w:rsidRPr="00F37FDE" w:rsidRDefault="00FF7A05" w:rsidP="00FF7A05">
            <w:pPr>
              <w:spacing w:after="0" w:line="240" w:lineRule="auto"/>
              <w:jc w:val="right"/>
              <w:rPr>
                <w:rFonts w:ascii="Verdana" w:eastAsia="Times New Roman" w:hAnsi="Verdana" w:cs="Arial"/>
                <w:sz w:val="20"/>
                <w:szCs w:val="20"/>
                <w:lang w:eastAsia="en-GB"/>
              </w:rPr>
            </w:pPr>
            <w:r w:rsidRPr="00F37FDE">
              <w:rPr>
                <w:rFonts w:ascii="Verdana" w:eastAsia="Times New Roman" w:hAnsi="Verdana" w:cs="Arial"/>
                <w:sz w:val="20"/>
                <w:szCs w:val="20"/>
                <w:lang w:eastAsia="en-GB"/>
              </w:rPr>
              <w:t>2 people in household</w:t>
            </w:r>
          </w:p>
        </w:tc>
        <w:tc>
          <w:tcPr>
            <w:tcW w:w="949" w:type="dxa"/>
            <w:tcBorders>
              <w:top w:val="single" w:sz="4" w:space="0" w:color="auto"/>
              <w:left w:val="single" w:sz="4" w:space="0" w:color="auto"/>
              <w:bottom w:val="single" w:sz="4" w:space="0" w:color="auto"/>
              <w:right w:val="single" w:sz="4" w:space="0" w:color="auto"/>
            </w:tcBorders>
            <w:noWrap/>
          </w:tcPr>
          <w:p w14:paraId="695B761B" w14:textId="77777777" w:rsidR="00FF7A05" w:rsidRPr="00FF7A05" w:rsidRDefault="00FF7A05" w:rsidP="00FF7A05">
            <w:pPr>
              <w:tabs>
                <w:tab w:val="decimal" w:pos="480"/>
              </w:tabs>
              <w:spacing w:after="0" w:line="240" w:lineRule="auto"/>
              <w:rPr>
                <w:rFonts w:ascii="Verdana" w:hAnsi="Verdana" w:cs="Arial"/>
                <w:sz w:val="20"/>
                <w:szCs w:val="20"/>
              </w:rPr>
            </w:pPr>
            <w:r w:rsidRPr="00FF7A05">
              <w:rPr>
                <w:rFonts w:ascii="Verdana" w:hAnsi="Verdana" w:cs="Arial"/>
                <w:sz w:val="20"/>
                <w:szCs w:val="20"/>
              </w:rPr>
              <w:t>49</w:t>
            </w:r>
          </w:p>
        </w:tc>
        <w:tc>
          <w:tcPr>
            <w:tcW w:w="964" w:type="dxa"/>
            <w:tcBorders>
              <w:top w:val="single" w:sz="4" w:space="0" w:color="auto"/>
              <w:left w:val="single" w:sz="4" w:space="0" w:color="auto"/>
              <w:bottom w:val="single" w:sz="4" w:space="0" w:color="auto"/>
              <w:right w:val="single" w:sz="4" w:space="0" w:color="auto"/>
            </w:tcBorders>
            <w:noWrap/>
            <w:vAlign w:val="center"/>
          </w:tcPr>
          <w:p w14:paraId="74CEE2F7" w14:textId="77777777" w:rsidR="00FF7A05" w:rsidRPr="00FF7A05" w:rsidRDefault="00FF7A05" w:rsidP="00FF7A05">
            <w:pPr>
              <w:tabs>
                <w:tab w:val="decimal" w:pos="430"/>
              </w:tabs>
              <w:spacing w:after="0" w:line="240" w:lineRule="auto"/>
              <w:rPr>
                <w:rFonts w:ascii="Verdana" w:hAnsi="Verdana" w:cs="Calibri"/>
                <w:color w:val="000000"/>
                <w:sz w:val="20"/>
                <w:szCs w:val="20"/>
              </w:rPr>
            </w:pPr>
            <w:r w:rsidRPr="00FF7A05">
              <w:rPr>
                <w:rFonts w:ascii="Verdana" w:hAnsi="Verdana" w:cs="Calibri"/>
                <w:color w:val="000000"/>
                <w:sz w:val="20"/>
                <w:szCs w:val="20"/>
              </w:rPr>
              <w:t>38.0</w:t>
            </w:r>
          </w:p>
        </w:tc>
        <w:tc>
          <w:tcPr>
            <w:tcW w:w="1588" w:type="dxa"/>
            <w:tcBorders>
              <w:top w:val="single" w:sz="4" w:space="0" w:color="auto"/>
              <w:left w:val="single" w:sz="4" w:space="0" w:color="auto"/>
              <w:bottom w:val="single" w:sz="4" w:space="0" w:color="auto"/>
              <w:right w:val="single" w:sz="4" w:space="0" w:color="auto"/>
            </w:tcBorders>
            <w:noWrap/>
            <w:vAlign w:val="center"/>
          </w:tcPr>
          <w:p w14:paraId="3FE612EB" w14:textId="77777777" w:rsidR="00FF7A05" w:rsidRDefault="00FF7A05" w:rsidP="00FF7A05">
            <w:pPr>
              <w:tabs>
                <w:tab w:val="decimal" w:pos="684"/>
              </w:tabs>
              <w:spacing w:after="0" w:line="240" w:lineRule="auto"/>
              <w:rPr>
                <w:rFonts w:ascii="Verdana" w:hAnsi="Verdana" w:cs="Calibri"/>
                <w:color w:val="000000"/>
                <w:sz w:val="20"/>
                <w:szCs w:val="20"/>
              </w:rPr>
            </w:pPr>
            <w:r>
              <w:rPr>
                <w:rFonts w:ascii="Verdana" w:hAnsi="Verdana" w:cs="Calibri"/>
                <w:color w:val="000000"/>
                <w:sz w:val="20"/>
                <w:szCs w:val="20"/>
              </w:rPr>
              <w:t>33.2</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78709E81" w14:textId="77777777" w:rsidR="00FF7A05" w:rsidRPr="00F37FDE" w:rsidRDefault="00FF7A05" w:rsidP="00FF7A05">
            <w:pPr>
              <w:tabs>
                <w:tab w:val="decimal" w:pos="653"/>
              </w:tabs>
              <w:spacing w:after="0" w:line="240" w:lineRule="auto"/>
              <w:rPr>
                <w:rFonts w:ascii="Verdana" w:eastAsia="Times New Roman" w:hAnsi="Verdana" w:cs="Arial"/>
                <w:color w:val="000000"/>
                <w:sz w:val="20"/>
                <w:szCs w:val="20"/>
                <w:lang w:eastAsia="en-GB"/>
              </w:rPr>
            </w:pPr>
            <w:r w:rsidRPr="00F37FDE">
              <w:rPr>
                <w:rFonts w:ascii="Verdana" w:eastAsia="Times New Roman" w:hAnsi="Verdana" w:cs="Arial"/>
                <w:color w:val="000000"/>
                <w:sz w:val="20"/>
                <w:szCs w:val="20"/>
                <w:lang w:eastAsia="en-GB"/>
              </w:rPr>
              <w:t>32.3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37DB29A" w14:textId="77777777" w:rsidR="00FF7A05" w:rsidRPr="00F37FDE" w:rsidRDefault="00FF7A05" w:rsidP="00FF7A05">
            <w:pPr>
              <w:tabs>
                <w:tab w:val="decimal" w:pos="514"/>
              </w:tabs>
              <w:spacing w:after="0" w:line="240" w:lineRule="auto"/>
              <w:rPr>
                <w:rFonts w:ascii="Verdana" w:eastAsia="Times New Roman" w:hAnsi="Verdana" w:cs="Arial"/>
                <w:color w:val="000000"/>
                <w:sz w:val="20"/>
                <w:szCs w:val="20"/>
                <w:lang w:eastAsia="en-GB"/>
              </w:rPr>
            </w:pPr>
            <w:r w:rsidRPr="00F37FDE">
              <w:rPr>
                <w:rFonts w:ascii="Verdana" w:eastAsia="Times New Roman" w:hAnsi="Verdana" w:cs="Arial"/>
                <w:color w:val="000000"/>
                <w:sz w:val="20"/>
                <w:szCs w:val="20"/>
                <w:lang w:eastAsia="en-GB"/>
              </w:rPr>
              <w:t>30.3</w:t>
            </w:r>
          </w:p>
        </w:tc>
      </w:tr>
      <w:tr w:rsidR="00FF7A05" w:rsidRPr="00F37FDE" w14:paraId="32FAACCF" w14:textId="77777777" w:rsidTr="00BA1A86">
        <w:trPr>
          <w:trHeight w:val="70"/>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3047FC52" w14:textId="77777777" w:rsidR="00FF7A05" w:rsidRPr="00F37FDE" w:rsidRDefault="00FF7A05" w:rsidP="00FF7A05">
            <w:pPr>
              <w:spacing w:after="0" w:line="240" w:lineRule="auto"/>
              <w:jc w:val="right"/>
              <w:rPr>
                <w:rFonts w:ascii="Verdana" w:eastAsia="Times New Roman" w:hAnsi="Verdana" w:cs="Arial"/>
                <w:sz w:val="20"/>
                <w:szCs w:val="20"/>
                <w:lang w:eastAsia="en-GB"/>
              </w:rPr>
            </w:pPr>
            <w:r w:rsidRPr="00F37FDE">
              <w:rPr>
                <w:rFonts w:ascii="Verdana" w:eastAsia="Times New Roman" w:hAnsi="Verdana" w:cs="Arial"/>
                <w:sz w:val="20"/>
                <w:szCs w:val="20"/>
                <w:lang w:eastAsia="en-GB"/>
              </w:rPr>
              <w:t>3 people in household</w:t>
            </w:r>
          </w:p>
        </w:tc>
        <w:tc>
          <w:tcPr>
            <w:tcW w:w="949" w:type="dxa"/>
            <w:tcBorders>
              <w:top w:val="single" w:sz="4" w:space="0" w:color="auto"/>
              <w:left w:val="single" w:sz="4" w:space="0" w:color="auto"/>
              <w:bottom w:val="single" w:sz="4" w:space="0" w:color="auto"/>
              <w:right w:val="single" w:sz="4" w:space="0" w:color="auto"/>
            </w:tcBorders>
            <w:noWrap/>
          </w:tcPr>
          <w:p w14:paraId="54A797CD" w14:textId="77777777" w:rsidR="00FF7A05" w:rsidRPr="00FF7A05" w:rsidRDefault="00FF7A05" w:rsidP="00FF7A05">
            <w:pPr>
              <w:tabs>
                <w:tab w:val="decimal" w:pos="480"/>
              </w:tabs>
              <w:spacing w:after="0" w:line="240" w:lineRule="auto"/>
              <w:rPr>
                <w:rFonts w:ascii="Verdana" w:hAnsi="Verdana" w:cs="Arial"/>
                <w:sz w:val="20"/>
                <w:szCs w:val="20"/>
              </w:rPr>
            </w:pPr>
            <w:r w:rsidRPr="00FF7A05">
              <w:rPr>
                <w:rFonts w:ascii="Verdana" w:hAnsi="Verdana" w:cs="Arial"/>
                <w:sz w:val="20"/>
                <w:szCs w:val="20"/>
              </w:rPr>
              <w:t>19</w:t>
            </w:r>
          </w:p>
        </w:tc>
        <w:tc>
          <w:tcPr>
            <w:tcW w:w="964" w:type="dxa"/>
            <w:tcBorders>
              <w:top w:val="single" w:sz="4" w:space="0" w:color="auto"/>
              <w:left w:val="single" w:sz="4" w:space="0" w:color="auto"/>
              <w:bottom w:val="single" w:sz="4" w:space="0" w:color="auto"/>
              <w:right w:val="single" w:sz="4" w:space="0" w:color="auto"/>
            </w:tcBorders>
            <w:noWrap/>
            <w:vAlign w:val="center"/>
          </w:tcPr>
          <w:p w14:paraId="3C776E49" w14:textId="77777777" w:rsidR="00FF7A05" w:rsidRPr="00FF7A05" w:rsidRDefault="00FF7A05" w:rsidP="00FF7A05">
            <w:pPr>
              <w:tabs>
                <w:tab w:val="decimal" w:pos="430"/>
              </w:tabs>
              <w:spacing w:after="0" w:line="240" w:lineRule="auto"/>
              <w:rPr>
                <w:rFonts w:ascii="Verdana" w:hAnsi="Verdana" w:cs="Calibri"/>
                <w:color w:val="000000"/>
                <w:sz w:val="20"/>
                <w:szCs w:val="20"/>
              </w:rPr>
            </w:pPr>
            <w:r w:rsidRPr="00FF7A05">
              <w:rPr>
                <w:rFonts w:ascii="Verdana" w:hAnsi="Verdana" w:cs="Calibri"/>
                <w:color w:val="000000"/>
                <w:sz w:val="20"/>
                <w:szCs w:val="20"/>
              </w:rPr>
              <w:t>14.7</w:t>
            </w:r>
          </w:p>
        </w:tc>
        <w:tc>
          <w:tcPr>
            <w:tcW w:w="1588" w:type="dxa"/>
            <w:tcBorders>
              <w:top w:val="single" w:sz="4" w:space="0" w:color="auto"/>
              <w:left w:val="single" w:sz="4" w:space="0" w:color="auto"/>
              <w:bottom w:val="single" w:sz="4" w:space="0" w:color="auto"/>
              <w:right w:val="single" w:sz="4" w:space="0" w:color="auto"/>
            </w:tcBorders>
            <w:noWrap/>
            <w:vAlign w:val="center"/>
          </w:tcPr>
          <w:p w14:paraId="4CCEC60D" w14:textId="77777777" w:rsidR="00FF7A05" w:rsidRDefault="00FF7A05" w:rsidP="00FF7A05">
            <w:pPr>
              <w:tabs>
                <w:tab w:val="decimal" w:pos="684"/>
              </w:tabs>
              <w:spacing w:after="0" w:line="240" w:lineRule="auto"/>
              <w:rPr>
                <w:rFonts w:ascii="Verdana" w:hAnsi="Verdana" w:cs="Calibri"/>
                <w:color w:val="000000"/>
                <w:sz w:val="20"/>
                <w:szCs w:val="20"/>
              </w:rPr>
            </w:pPr>
            <w:r>
              <w:rPr>
                <w:rFonts w:ascii="Verdana" w:hAnsi="Verdana" w:cs="Calibri"/>
                <w:color w:val="000000"/>
                <w:sz w:val="20"/>
                <w:szCs w:val="20"/>
              </w:rPr>
              <w:t>18.4</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390D144" w14:textId="77777777" w:rsidR="00FF7A05" w:rsidRPr="00F37FDE" w:rsidRDefault="00FF7A05" w:rsidP="00FF7A05">
            <w:pPr>
              <w:tabs>
                <w:tab w:val="decimal" w:pos="653"/>
              </w:tabs>
              <w:spacing w:after="0" w:line="240" w:lineRule="auto"/>
              <w:rPr>
                <w:rFonts w:ascii="Verdana" w:eastAsia="Times New Roman" w:hAnsi="Verdana" w:cs="Arial"/>
                <w:color w:val="000000"/>
                <w:sz w:val="20"/>
                <w:szCs w:val="20"/>
                <w:lang w:eastAsia="en-GB"/>
              </w:rPr>
            </w:pPr>
            <w:r w:rsidRPr="00F37FDE">
              <w:rPr>
                <w:rFonts w:ascii="Verdana" w:eastAsia="Times New Roman" w:hAnsi="Verdana" w:cs="Arial"/>
                <w:color w:val="000000"/>
                <w:sz w:val="20"/>
                <w:szCs w:val="20"/>
                <w:lang w:eastAsia="en-GB"/>
              </w:rPr>
              <w:t>18.8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5B8F0CC" w14:textId="77777777" w:rsidR="00FF7A05" w:rsidRPr="00F37FDE" w:rsidRDefault="00FF7A05" w:rsidP="00FF7A05">
            <w:pPr>
              <w:tabs>
                <w:tab w:val="decimal" w:pos="514"/>
              </w:tabs>
              <w:spacing w:after="0" w:line="240" w:lineRule="auto"/>
              <w:rPr>
                <w:rFonts w:ascii="Verdana" w:eastAsia="Times New Roman" w:hAnsi="Verdana" w:cs="Arial"/>
                <w:color w:val="000000"/>
                <w:sz w:val="20"/>
                <w:szCs w:val="20"/>
                <w:lang w:eastAsia="en-GB"/>
              </w:rPr>
            </w:pPr>
            <w:r w:rsidRPr="00F37FDE">
              <w:rPr>
                <w:rFonts w:ascii="Verdana" w:eastAsia="Times New Roman" w:hAnsi="Verdana" w:cs="Arial"/>
                <w:color w:val="000000"/>
                <w:sz w:val="20"/>
                <w:szCs w:val="20"/>
                <w:lang w:eastAsia="en-GB"/>
              </w:rPr>
              <w:t>18.3</w:t>
            </w:r>
          </w:p>
        </w:tc>
      </w:tr>
      <w:tr w:rsidR="00FF7A05" w:rsidRPr="00F37FDE" w14:paraId="3BE5F130" w14:textId="77777777" w:rsidTr="00BA1A86">
        <w:trPr>
          <w:trHeight w:val="288"/>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55C44DDA" w14:textId="77777777" w:rsidR="00FF7A05" w:rsidRPr="00F37FDE" w:rsidRDefault="00FF7A05" w:rsidP="00FF7A05">
            <w:pPr>
              <w:spacing w:after="0" w:line="240" w:lineRule="auto"/>
              <w:jc w:val="right"/>
              <w:rPr>
                <w:rFonts w:ascii="Verdana" w:eastAsia="Times New Roman" w:hAnsi="Verdana" w:cs="Arial"/>
                <w:sz w:val="20"/>
                <w:szCs w:val="20"/>
                <w:lang w:eastAsia="en-GB"/>
              </w:rPr>
            </w:pPr>
            <w:r w:rsidRPr="00F37FDE">
              <w:rPr>
                <w:rFonts w:ascii="Verdana" w:eastAsia="Times New Roman" w:hAnsi="Verdana" w:cs="Arial"/>
                <w:sz w:val="20"/>
                <w:szCs w:val="20"/>
                <w:lang w:eastAsia="en-GB"/>
              </w:rPr>
              <w:t>4 or more people in household</w:t>
            </w:r>
          </w:p>
        </w:tc>
        <w:tc>
          <w:tcPr>
            <w:tcW w:w="949" w:type="dxa"/>
            <w:tcBorders>
              <w:top w:val="single" w:sz="4" w:space="0" w:color="auto"/>
              <w:left w:val="single" w:sz="4" w:space="0" w:color="auto"/>
              <w:bottom w:val="single" w:sz="4" w:space="0" w:color="auto"/>
              <w:right w:val="single" w:sz="4" w:space="0" w:color="auto"/>
            </w:tcBorders>
            <w:noWrap/>
          </w:tcPr>
          <w:p w14:paraId="66EB7710" w14:textId="77777777" w:rsidR="00FF7A05" w:rsidRPr="00FF7A05" w:rsidRDefault="00FF7A05" w:rsidP="00FF7A05">
            <w:pPr>
              <w:tabs>
                <w:tab w:val="decimal" w:pos="480"/>
              </w:tabs>
              <w:spacing w:after="0" w:line="240" w:lineRule="auto"/>
              <w:rPr>
                <w:rFonts w:ascii="Verdana" w:hAnsi="Verdana" w:cs="Arial"/>
                <w:sz w:val="20"/>
                <w:szCs w:val="20"/>
              </w:rPr>
            </w:pPr>
            <w:r w:rsidRPr="00FF7A05">
              <w:rPr>
                <w:rFonts w:ascii="Verdana" w:hAnsi="Verdana" w:cs="Arial"/>
                <w:sz w:val="20"/>
                <w:szCs w:val="20"/>
              </w:rPr>
              <w:t>43</w:t>
            </w:r>
          </w:p>
        </w:tc>
        <w:tc>
          <w:tcPr>
            <w:tcW w:w="964" w:type="dxa"/>
            <w:tcBorders>
              <w:top w:val="single" w:sz="4" w:space="0" w:color="auto"/>
              <w:left w:val="single" w:sz="4" w:space="0" w:color="auto"/>
              <w:bottom w:val="single" w:sz="4" w:space="0" w:color="auto"/>
              <w:right w:val="single" w:sz="4" w:space="0" w:color="auto"/>
            </w:tcBorders>
            <w:noWrap/>
            <w:vAlign w:val="center"/>
          </w:tcPr>
          <w:p w14:paraId="72439CF7" w14:textId="77777777" w:rsidR="00FF7A05" w:rsidRPr="00FF7A05" w:rsidRDefault="00FF7A05" w:rsidP="00FF7A05">
            <w:pPr>
              <w:tabs>
                <w:tab w:val="decimal" w:pos="430"/>
              </w:tabs>
              <w:spacing w:after="0" w:line="240" w:lineRule="auto"/>
              <w:rPr>
                <w:rFonts w:ascii="Verdana" w:hAnsi="Verdana" w:cs="Calibri"/>
                <w:color w:val="000000"/>
                <w:sz w:val="20"/>
                <w:szCs w:val="20"/>
              </w:rPr>
            </w:pPr>
            <w:r w:rsidRPr="00FF7A05">
              <w:rPr>
                <w:rFonts w:ascii="Verdana" w:hAnsi="Verdana" w:cs="Calibri"/>
                <w:color w:val="000000"/>
                <w:sz w:val="20"/>
                <w:szCs w:val="20"/>
              </w:rPr>
              <w:t>33.3</w:t>
            </w:r>
          </w:p>
        </w:tc>
        <w:tc>
          <w:tcPr>
            <w:tcW w:w="1588" w:type="dxa"/>
            <w:tcBorders>
              <w:top w:val="single" w:sz="4" w:space="0" w:color="auto"/>
              <w:left w:val="single" w:sz="4" w:space="0" w:color="auto"/>
              <w:bottom w:val="single" w:sz="4" w:space="0" w:color="auto"/>
              <w:right w:val="single" w:sz="4" w:space="0" w:color="auto"/>
            </w:tcBorders>
            <w:noWrap/>
            <w:vAlign w:val="center"/>
          </w:tcPr>
          <w:p w14:paraId="26E9AF1C" w14:textId="77777777" w:rsidR="00FF7A05" w:rsidRDefault="00FF7A05" w:rsidP="00FF7A05">
            <w:pPr>
              <w:tabs>
                <w:tab w:val="decimal" w:pos="684"/>
              </w:tabs>
              <w:spacing w:after="0" w:line="240" w:lineRule="auto"/>
              <w:rPr>
                <w:rFonts w:ascii="Verdana" w:hAnsi="Verdana" w:cs="Calibri"/>
                <w:color w:val="000000"/>
                <w:sz w:val="20"/>
                <w:szCs w:val="20"/>
              </w:rPr>
            </w:pPr>
            <w:r>
              <w:rPr>
                <w:rFonts w:ascii="Verdana" w:hAnsi="Verdana" w:cs="Calibri"/>
                <w:color w:val="000000"/>
                <w:sz w:val="20"/>
                <w:szCs w:val="20"/>
              </w:rPr>
              <w:t>38.1</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6DEF96EB" w14:textId="77777777" w:rsidR="00FF7A05" w:rsidRPr="00F37FDE" w:rsidRDefault="00FF7A05" w:rsidP="00FF7A05">
            <w:pPr>
              <w:tabs>
                <w:tab w:val="decimal" w:pos="653"/>
              </w:tabs>
              <w:spacing w:after="0" w:line="240" w:lineRule="auto"/>
              <w:rPr>
                <w:rFonts w:ascii="Verdana" w:eastAsia="Times New Roman" w:hAnsi="Verdana" w:cs="Arial"/>
                <w:color w:val="000000"/>
                <w:sz w:val="20"/>
                <w:szCs w:val="20"/>
                <w:lang w:eastAsia="en-GB"/>
              </w:rPr>
            </w:pPr>
            <w:r w:rsidRPr="00F37FDE">
              <w:rPr>
                <w:rFonts w:ascii="Verdana" w:eastAsia="Times New Roman" w:hAnsi="Verdana" w:cs="Arial"/>
                <w:color w:val="000000"/>
                <w:sz w:val="20"/>
                <w:szCs w:val="20"/>
                <w:lang w:eastAsia="en-GB"/>
              </w:rPr>
              <w:t>38.5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B7D95BB" w14:textId="77777777" w:rsidR="00FF7A05" w:rsidRPr="00F37FDE" w:rsidRDefault="00FF7A05" w:rsidP="00FF7A05">
            <w:pPr>
              <w:tabs>
                <w:tab w:val="decimal" w:pos="514"/>
              </w:tabs>
              <w:spacing w:after="0" w:line="240" w:lineRule="auto"/>
              <w:rPr>
                <w:rFonts w:ascii="Verdana" w:eastAsia="Times New Roman" w:hAnsi="Verdana" w:cs="Arial"/>
                <w:color w:val="000000"/>
                <w:sz w:val="20"/>
                <w:szCs w:val="20"/>
                <w:lang w:eastAsia="en-GB"/>
              </w:rPr>
            </w:pPr>
            <w:r w:rsidRPr="00F37FDE">
              <w:rPr>
                <w:rFonts w:ascii="Verdana" w:eastAsia="Times New Roman" w:hAnsi="Verdana" w:cs="Arial"/>
                <w:color w:val="000000"/>
                <w:sz w:val="20"/>
                <w:szCs w:val="20"/>
                <w:lang w:eastAsia="en-GB"/>
              </w:rPr>
              <w:t>40.8</w:t>
            </w:r>
          </w:p>
        </w:tc>
      </w:tr>
    </w:tbl>
    <w:p w14:paraId="7F62987F" w14:textId="77777777" w:rsidR="00F20F69" w:rsidRDefault="00A0208F" w:rsidP="00BE79F2">
      <w:pPr>
        <w:pStyle w:val="NoSpacing"/>
        <w:spacing w:before="120"/>
        <w:jc w:val="center"/>
        <w:rPr>
          <w:rFonts w:ascii="Verdana" w:hAnsi="Verdana" w:cs="Arial"/>
          <w:i/>
          <w:sz w:val="20"/>
          <w:szCs w:val="24"/>
        </w:rPr>
      </w:pPr>
      <w:r w:rsidRPr="00F37FDE">
        <w:rPr>
          <w:rFonts w:ascii="Verdana" w:hAnsi="Verdana" w:cs="Arial"/>
          <w:i/>
          <w:sz w:val="20"/>
          <w:szCs w:val="24"/>
        </w:rPr>
        <w:t>Source:</w:t>
      </w:r>
      <w:r w:rsidR="003D1B6E" w:rsidRPr="00F37FDE">
        <w:rPr>
          <w:rFonts w:ascii="Verdana" w:hAnsi="Verdana" w:cs="Arial"/>
          <w:i/>
          <w:sz w:val="20"/>
          <w:szCs w:val="24"/>
        </w:rPr>
        <w:t xml:space="preserve"> </w:t>
      </w:r>
      <w:r w:rsidRPr="00F37FDE">
        <w:rPr>
          <w:rFonts w:ascii="Verdana" w:hAnsi="Verdana" w:cs="Arial"/>
          <w:i/>
          <w:sz w:val="20"/>
          <w:szCs w:val="24"/>
        </w:rPr>
        <w:t>Census</w:t>
      </w:r>
      <w:r w:rsidR="003D1B6E" w:rsidRPr="00F37FDE">
        <w:rPr>
          <w:rFonts w:ascii="Verdana" w:hAnsi="Verdana" w:cs="Arial"/>
          <w:i/>
          <w:sz w:val="20"/>
          <w:szCs w:val="24"/>
        </w:rPr>
        <w:t xml:space="preserve"> </w:t>
      </w:r>
      <w:r w:rsidRPr="00F37FDE">
        <w:rPr>
          <w:rFonts w:ascii="Verdana" w:hAnsi="Verdana" w:cs="Arial"/>
          <w:i/>
          <w:sz w:val="20"/>
          <w:szCs w:val="24"/>
        </w:rPr>
        <w:t>2011,</w:t>
      </w:r>
      <w:r w:rsidR="003D1B6E" w:rsidRPr="00F37FDE">
        <w:rPr>
          <w:rFonts w:ascii="Verdana" w:hAnsi="Verdana" w:cs="Arial"/>
          <w:i/>
          <w:sz w:val="20"/>
          <w:szCs w:val="24"/>
        </w:rPr>
        <w:t xml:space="preserve"> </w:t>
      </w:r>
      <w:r w:rsidRPr="00F37FDE">
        <w:rPr>
          <w:rFonts w:ascii="Verdana" w:hAnsi="Verdana" w:cs="Arial"/>
          <w:i/>
          <w:sz w:val="20"/>
          <w:szCs w:val="24"/>
        </w:rPr>
        <w:t>LC4405EW</w:t>
      </w:r>
    </w:p>
    <w:p w14:paraId="04814D15" w14:textId="77777777" w:rsidR="00F20F69" w:rsidRDefault="00F20F69" w:rsidP="000F1E62">
      <w:pPr>
        <w:pStyle w:val="NoSpacing"/>
        <w:jc w:val="center"/>
        <w:rPr>
          <w:rFonts w:ascii="Verdana" w:hAnsi="Verdana" w:cs="Arial"/>
          <w:i/>
          <w:sz w:val="20"/>
          <w:szCs w:val="24"/>
        </w:rPr>
      </w:pPr>
    </w:p>
    <w:p w14:paraId="6F76C55D" w14:textId="77777777" w:rsidR="00657A55" w:rsidRDefault="0055289C" w:rsidP="00463ADC">
      <w:pPr>
        <w:pStyle w:val="NoSpacing"/>
        <w:jc w:val="both"/>
        <w:rPr>
          <w:rFonts w:ascii="Verdana" w:hAnsi="Verdana" w:cs="Arial"/>
          <w:sz w:val="24"/>
          <w:szCs w:val="24"/>
        </w:rPr>
      </w:pPr>
      <w:r w:rsidRPr="00F37FDE">
        <w:rPr>
          <w:rFonts w:ascii="Verdana" w:hAnsi="Verdana" w:cs="Arial"/>
          <w:sz w:val="24"/>
          <w:szCs w:val="24"/>
        </w:rPr>
        <w:t>Census</w:t>
      </w:r>
      <w:r w:rsidR="003D1B6E" w:rsidRPr="00F37FDE">
        <w:rPr>
          <w:rFonts w:ascii="Verdana" w:hAnsi="Verdana" w:cs="Arial"/>
          <w:sz w:val="24"/>
          <w:szCs w:val="24"/>
        </w:rPr>
        <w:t xml:space="preserve"> </w:t>
      </w:r>
      <w:r w:rsidRPr="00F37FDE">
        <w:rPr>
          <w:rFonts w:ascii="Verdana" w:hAnsi="Verdana" w:cs="Arial"/>
          <w:sz w:val="24"/>
          <w:szCs w:val="24"/>
        </w:rPr>
        <w:t>data</w:t>
      </w:r>
      <w:r w:rsidR="003D1B6E" w:rsidRPr="00F37FDE">
        <w:rPr>
          <w:rFonts w:ascii="Verdana" w:hAnsi="Verdana" w:cs="Arial"/>
          <w:sz w:val="24"/>
          <w:szCs w:val="24"/>
        </w:rPr>
        <w:t xml:space="preserve"> </w:t>
      </w:r>
      <w:r w:rsidR="005B03F9">
        <w:rPr>
          <w:rFonts w:ascii="Verdana" w:hAnsi="Verdana" w:cs="Arial"/>
          <w:sz w:val="24"/>
          <w:szCs w:val="24"/>
        </w:rPr>
        <w:t xml:space="preserve">also </w:t>
      </w:r>
      <w:r w:rsidRPr="00F37FDE">
        <w:rPr>
          <w:rFonts w:ascii="Verdana" w:hAnsi="Verdana" w:cs="Arial"/>
          <w:sz w:val="24"/>
          <w:szCs w:val="24"/>
        </w:rPr>
        <w:t>suggests</w:t>
      </w:r>
      <w:r w:rsidR="003D1B6E" w:rsidRPr="00F37FDE">
        <w:rPr>
          <w:rFonts w:ascii="Verdana" w:hAnsi="Verdana" w:cs="Arial"/>
          <w:sz w:val="24"/>
          <w:szCs w:val="24"/>
        </w:rPr>
        <w:t xml:space="preserve"> </w:t>
      </w:r>
      <w:r w:rsidRPr="00F37FDE">
        <w:rPr>
          <w:rFonts w:ascii="Verdana" w:hAnsi="Verdana" w:cs="Arial"/>
          <w:sz w:val="24"/>
          <w:szCs w:val="24"/>
        </w:rPr>
        <w:t>that</w:t>
      </w:r>
      <w:r w:rsidR="006F4D36">
        <w:rPr>
          <w:rFonts w:ascii="Verdana" w:hAnsi="Verdana" w:cs="Arial"/>
          <w:sz w:val="24"/>
          <w:szCs w:val="24"/>
        </w:rPr>
        <w:t xml:space="preserve"> </w:t>
      </w:r>
      <w:r w:rsidRPr="00F37FDE">
        <w:rPr>
          <w:rFonts w:ascii="Verdana" w:hAnsi="Verdana" w:cs="Arial"/>
          <w:sz w:val="24"/>
          <w:szCs w:val="24"/>
        </w:rPr>
        <w:t>older</w:t>
      </w:r>
      <w:r w:rsidR="003D1B6E" w:rsidRPr="00F37FDE">
        <w:rPr>
          <w:rFonts w:ascii="Verdana" w:hAnsi="Verdana" w:cs="Arial"/>
          <w:sz w:val="24"/>
          <w:szCs w:val="24"/>
        </w:rPr>
        <w:t xml:space="preserve"> </w:t>
      </w:r>
      <w:r w:rsidRPr="00F37FDE">
        <w:rPr>
          <w:rFonts w:ascii="Verdana" w:hAnsi="Verdana" w:cs="Arial"/>
          <w:sz w:val="24"/>
          <w:szCs w:val="24"/>
        </w:rPr>
        <w:t>person</w:t>
      </w:r>
      <w:r w:rsidR="003D1B6E" w:rsidRPr="00F37FDE">
        <w:rPr>
          <w:rFonts w:ascii="Verdana" w:hAnsi="Verdana" w:cs="Arial"/>
          <w:sz w:val="24"/>
          <w:szCs w:val="24"/>
        </w:rPr>
        <w:t xml:space="preserve"> </w:t>
      </w:r>
      <w:r w:rsidRPr="00F37FDE">
        <w:rPr>
          <w:rFonts w:ascii="Verdana" w:hAnsi="Verdana" w:cs="Arial"/>
          <w:sz w:val="24"/>
          <w:szCs w:val="24"/>
        </w:rPr>
        <w:t>hous</w:t>
      </w:r>
      <w:r w:rsidR="005217D8" w:rsidRPr="00F37FDE">
        <w:rPr>
          <w:rFonts w:ascii="Verdana" w:hAnsi="Verdana" w:cs="Arial"/>
          <w:sz w:val="24"/>
          <w:szCs w:val="24"/>
        </w:rPr>
        <w:t>eholds</w:t>
      </w:r>
      <w:r w:rsidR="003D1B6E" w:rsidRPr="00F37FDE">
        <w:rPr>
          <w:rFonts w:ascii="Verdana" w:hAnsi="Verdana" w:cs="Arial"/>
          <w:sz w:val="24"/>
          <w:szCs w:val="24"/>
        </w:rPr>
        <w:t xml:space="preserve"> </w:t>
      </w:r>
      <w:r w:rsidR="005217D8" w:rsidRPr="00F37FDE">
        <w:rPr>
          <w:rFonts w:ascii="Verdana" w:hAnsi="Verdana" w:cs="Arial"/>
          <w:sz w:val="24"/>
          <w:szCs w:val="24"/>
        </w:rPr>
        <w:t>are</w:t>
      </w:r>
      <w:r w:rsidR="003D1B6E" w:rsidRPr="00F37FDE">
        <w:rPr>
          <w:rFonts w:ascii="Verdana" w:hAnsi="Verdana" w:cs="Arial"/>
          <w:sz w:val="24"/>
          <w:szCs w:val="24"/>
        </w:rPr>
        <w:t xml:space="preserve"> </w:t>
      </w:r>
      <w:r w:rsidR="005217D8" w:rsidRPr="00F37FDE">
        <w:rPr>
          <w:rFonts w:ascii="Verdana" w:hAnsi="Verdana" w:cs="Arial"/>
          <w:sz w:val="24"/>
          <w:szCs w:val="24"/>
        </w:rPr>
        <w:t>more</w:t>
      </w:r>
      <w:r w:rsidR="003D1B6E" w:rsidRPr="00F37FDE">
        <w:rPr>
          <w:rFonts w:ascii="Verdana" w:hAnsi="Verdana" w:cs="Arial"/>
          <w:sz w:val="24"/>
          <w:szCs w:val="24"/>
        </w:rPr>
        <w:t xml:space="preserve"> </w:t>
      </w:r>
      <w:r w:rsidR="005217D8" w:rsidRPr="00F37FDE">
        <w:rPr>
          <w:rFonts w:ascii="Verdana" w:hAnsi="Verdana" w:cs="Arial"/>
          <w:sz w:val="24"/>
          <w:szCs w:val="24"/>
        </w:rPr>
        <w:t>likely</w:t>
      </w:r>
      <w:r w:rsidR="003D1B6E" w:rsidRPr="00F37FDE">
        <w:rPr>
          <w:rFonts w:ascii="Verdana" w:hAnsi="Verdana" w:cs="Arial"/>
          <w:sz w:val="24"/>
          <w:szCs w:val="24"/>
        </w:rPr>
        <w:t xml:space="preserve"> </w:t>
      </w:r>
      <w:r w:rsidR="005217D8" w:rsidRPr="00F37FDE">
        <w:rPr>
          <w:rFonts w:ascii="Verdana" w:hAnsi="Verdana" w:cs="Arial"/>
          <w:sz w:val="24"/>
          <w:szCs w:val="24"/>
        </w:rPr>
        <w:t>to</w:t>
      </w:r>
      <w:r w:rsidR="003D1B6E" w:rsidRPr="00F37FDE">
        <w:rPr>
          <w:rFonts w:ascii="Verdana" w:hAnsi="Verdana" w:cs="Arial"/>
          <w:sz w:val="24"/>
          <w:szCs w:val="24"/>
        </w:rPr>
        <w:t xml:space="preserve"> </w:t>
      </w:r>
      <w:r w:rsidR="005217D8" w:rsidRPr="00F37FDE">
        <w:rPr>
          <w:rFonts w:ascii="Verdana" w:hAnsi="Verdana" w:cs="Arial"/>
          <w:sz w:val="24"/>
          <w:szCs w:val="24"/>
        </w:rPr>
        <w:t>under</w:t>
      </w:r>
      <w:r w:rsidR="0059692D" w:rsidRPr="00F37FDE">
        <w:rPr>
          <w:rFonts w:ascii="Verdana" w:hAnsi="Verdana" w:cs="Arial"/>
          <w:sz w:val="24"/>
          <w:szCs w:val="24"/>
        </w:rPr>
        <w:t>-</w:t>
      </w:r>
      <w:r w:rsidR="005217D8" w:rsidRPr="00F37FDE">
        <w:rPr>
          <w:rFonts w:ascii="Verdana" w:hAnsi="Verdana" w:cs="Arial"/>
          <w:sz w:val="24"/>
          <w:szCs w:val="24"/>
        </w:rPr>
        <w:t>occupy</w:t>
      </w:r>
      <w:r w:rsidR="003D1B6E" w:rsidRPr="00F37FDE">
        <w:rPr>
          <w:rFonts w:ascii="Verdana" w:hAnsi="Verdana" w:cs="Arial"/>
          <w:sz w:val="24"/>
          <w:szCs w:val="24"/>
        </w:rPr>
        <w:t xml:space="preserve"> </w:t>
      </w:r>
      <w:r w:rsidR="005217D8" w:rsidRPr="00F37FDE">
        <w:rPr>
          <w:rFonts w:ascii="Verdana" w:hAnsi="Verdana" w:cs="Arial"/>
          <w:sz w:val="24"/>
          <w:szCs w:val="24"/>
        </w:rPr>
        <w:t>their</w:t>
      </w:r>
      <w:r w:rsidR="003D1B6E" w:rsidRPr="00F37FDE">
        <w:rPr>
          <w:rFonts w:ascii="Verdana" w:hAnsi="Verdana" w:cs="Arial"/>
          <w:sz w:val="24"/>
          <w:szCs w:val="24"/>
        </w:rPr>
        <w:t xml:space="preserve"> </w:t>
      </w:r>
      <w:r w:rsidR="006F4D36">
        <w:rPr>
          <w:rFonts w:ascii="Verdana" w:hAnsi="Verdana" w:cs="Arial"/>
          <w:sz w:val="24"/>
          <w:szCs w:val="24"/>
        </w:rPr>
        <w:t>dwellings</w:t>
      </w:r>
      <w:r w:rsidR="005217D8" w:rsidRPr="00F37FDE">
        <w:rPr>
          <w:rFonts w:ascii="Verdana" w:hAnsi="Verdana" w:cs="Arial"/>
          <w:sz w:val="24"/>
          <w:szCs w:val="24"/>
        </w:rPr>
        <w:t>.</w:t>
      </w:r>
      <w:r w:rsidR="00E667D7">
        <w:rPr>
          <w:rFonts w:ascii="Verdana" w:hAnsi="Verdana" w:cs="Arial"/>
          <w:sz w:val="24"/>
          <w:szCs w:val="24"/>
        </w:rPr>
        <w:t xml:space="preserve"> </w:t>
      </w:r>
      <w:r w:rsidR="006E2C29" w:rsidRPr="00F37FDE">
        <w:rPr>
          <w:rFonts w:ascii="Verdana" w:hAnsi="Verdana" w:cs="Arial"/>
          <w:sz w:val="24"/>
          <w:szCs w:val="24"/>
        </w:rPr>
        <w:t>Data from the</w:t>
      </w:r>
      <w:r w:rsidR="007A0D23">
        <w:rPr>
          <w:rFonts w:ascii="Verdana" w:hAnsi="Verdana" w:cs="Arial"/>
          <w:sz w:val="24"/>
          <w:szCs w:val="24"/>
        </w:rPr>
        <w:t xml:space="preserve"> 2011</w:t>
      </w:r>
      <w:r w:rsidR="006E2C29" w:rsidRPr="00F37FDE">
        <w:rPr>
          <w:rFonts w:ascii="Verdana" w:hAnsi="Verdana" w:cs="Arial"/>
          <w:sz w:val="24"/>
          <w:szCs w:val="24"/>
        </w:rPr>
        <w:t xml:space="preserve"> Census allows us to investigate this using the bedroom standard. In total, </w:t>
      </w:r>
      <w:r w:rsidR="00CA382E">
        <w:rPr>
          <w:rFonts w:ascii="Verdana" w:hAnsi="Verdana" w:cs="Arial"/>
          <w:sz w:val="24"/>
          <w:szCs w:val="24"/>
        </w:rPr>
        <w:t xml:space="preserve">around </w:t>
      </w:r>
      <w:r w:rsidR="00FF7A05">
        <w:rPr>
          <w:rFonts w:ascii="Verdana" w:hAnsi="Verdana" w:cs="Arial"/>
          <w:sz w:val="24"/>
          <w:szCs w:val="24"/>
        </w:rPr>
        <w:t>5</w:t>
      </w:r>
      <w:r w:rsidR="0006016F">
        <w:rPr>
          <w:rFonts w:ascii="Verdana" w:hAnsi="Verdana" w:cs="Arial"/>
          <w:sz w:val="24"/>
          <w:szCs w:val="24"/>
        </w:rPr>
        <w:t>3</w:t>
      </w:r>
      <w:r w:rsidR="006E2C29" w:rsidRPr="00F37FDE">
        <w:rPr>
          <w:rFonts w:ascii="Verdana" w:hAnsi="Verdana" w:cs="Arial"/>
          <w:sz w:val="24"/>
          <w:szCs w:val="24"/>
        </w:rPr>
        <w:t xml:space="preserve">% of pensioner households have an occupancy rating of +2 or more (meaning there are at least two more bedrooms that are technically required by the household) and is somewhat higher than the </w:t>
      </w:r>
      <w:r w:rsidR="00FF7A05">
        <w:rPr>
          <w:rFonts w:ascii="Verdana" w:hAnsi="Verdana" w:cs="Arial"/>
          <w:sz w:val="24"/>
          <w:szCs w:val="24"/>
        </w:rPr>
        <w:t>4</w:t>
      </w:r>
      <w:r w:rsidR="0006016F">
        <w:rPr>
          <w:rFonts w:ascii="Verdana" w:hAnsi="Verdana" w:cs="Arial"/>
          <w:sz w:val="24"/>
          <w:szCs w:val="24"/>
        </w:rPr>
        <w:t>2</w:t>
      </w:r>
      <w:r w:rsidR="006E2C29" w:rsidRPr="00F37FDE">
        <w:rPr>
          <w:rFonts w:ascii="Verdana" w:hAnsi="Verdana" w:cs="Arial"/>
          <w:sz w:val="24"/>
          <w:szCs w:val="24"/>
        </w:rPr>
        <w:t>% non-pensioner household rate.</w:t>
      </w:r>
    </w:p>
    <w:p w14:paraId="3A7E7D77" w14:textId="77777777" w:rsidR="008A5B3B" w:rsidRDefault="008A5B3B" w:rsidP="005D272B">
      <w:pPr>
        <w:pStyle w:val="Caption"/>
        <w:widowControl w:val="0"/>
        <w:spacing w:after="80"/>
        <w:jc w:val="center"/>
        <w:rPr>
          <w:rFonts w:ascii="Verdana" w:hAnsi="Verdana" w:cs="Arial"/>
          <w:b/>
          <w:sz w:val="22"/>
          <w:szCs w:val="24"/>
        </w:rPr>
      </w:pPr>
    </w:p>
    <w:p w14:paraId="21A021AA" w14:textId="77777777" w:rsidR="00A25FFE" w:rsidRPr="004F6C01" w:rsidRDefault="00773C04" w:rsidP="00FF7A05">
      <w:pPr>
        <w:pStyle w:val="Caption"/>
        <w:keepNext/>
        <w:keepLines/>
        <w:widowControl w:val="0"/>
        <w:spacing w:after="80"/>
        <w:jc w:val="center"/>
        <w:rPr>
          <w:rFonts w:ascii="Verdana" w:hAnsi="Verdana" w:cs="Arial"/>
          <w:b/>
          <w:sz w:val="22"/>
          <w:szCs w:val="24"/>
        </w:rPr>
      </w:pPr>
      <w:r w:rsidRPr="004F6C01">
        <w:rPr>
          <w:rFonts w:ascii="Verdana" w:hAnsi="Verdana" w:cs="Arial"/>
          <w:b/>
          <w:sz w:val="22"/>
          <w:szCs w:val="24"/>
        </w:rPr>
        <w:lastRenderedPageBreak/>
        <w:t>Figure</w:t>
      </w:r>
      <w:r w:rsidR="003D1B6E" w:rsidRPr="004F6C01">
        <w:rPr>
          <w:rFonts w:ascii="Verdana" w:hAnsi="Verdana" w:cs="Arial"/>
          <w:b/>
          <w:sz w:val="22"/>
          <w:szCs w:val="24"/>
        </w:rPr>
        <w:t xml:space="preserve"> </w:t>
      </w:r>
      <w:r w:rsidR="00913D88">
        <w:rPr>
          <w:rFonts w:ascii="Verdana" w:hAnsi="Verdana" w:cs="Arial"/>
          <w:b/>
          <w:sz w:val="22"/>
          <w:szCs w:val="24"/>
        </w:rPr>
        <w:fldChar w:fldCharType="begin"/>
      </w:r>
      <w:r w:rsidR="00913D88">
        <w:rPr>
          <w:rFonts w:ascii="Verdana" w:hAnsi="Verdana" w:cs="Arial"/>
          <w:b/>
          <w:sz w:val="22"/>
          <w:szCs w:val="24"/>
        </w:rPr>
        <w:instrText xml:space="preserve"> SEQ Figure \* ARABIC </w:instrText>
      </w:r>
      <w:r w:rsidR="00913D88">
        <w:rPr>
          <w:rFonts w:ascii="Verdana" w:hAnsi="Verdana" w:cs="Arial"/>
          <w:b/>
          <w:sz w:val="22"/>
          <w:szCs w:val="24"/>
        </w:rPr>
        <w:fldChar w:fldCharType="separate"/>
      </w:r>
      <w:r w:rsidR="00CA4EB9">
        <w:rPr>
          <w:rFonts w:ascii="Verdana" w:hAnsi="Verdana" w:cs="Arial"/>
          <w:b/>
          <w:noProof/>
          <w:sz w:val="22"/>
          <w:szCs w:val="24"/>
        </w:rPr>
        <w:t>4</w:t>
      </w:r>
      <w:r w:rsidR="00913D88">
        <w:rPr>
          <w:rFonts w:ascii="Verdana" w:hAnsi="Verdana" w:cs="Arial"/>
          <w:b/>
          <w:sz w:val="22"/>
          <w:szCs w:val="24"/>
        </w:rPr>
        <w:fldChar w:fldCharType="end"/>
      </w:r>
      <w:r w:rsidR="00F93AE9" w:rsidRPr="004F6C01">
        <w:rPr>
          <w:rFonts w:ascii="Verdana" w:hAnsi="Verdana" w:cs="Arial"/>
          <w:b/>
          <w:sz w:val="22"/>
          <w:szCs w:val="24"/>
        </w:rPr>
        <w:t>:</w:t>
      </w:r>
      <w:r w:rsidR="003D1B6E" w:rsidRPr="004F6C01">
        <w:rPr>
          <w:rFonts w:ascii="Verdana" w:hAnsi="Verdana" w:cs="Arial"/>
          <w:b/>
          <w:sz w:val="22"/>
          <w:szCs w:val="24"/>
        </w:rPr>
        <w:t xml:space="preserve"> </w:t>
      </w:r>
      <w:r w:rsidRPr="004F6C01">
        <w:rPr>
          <w:rFonts w:ascii="Verdana" w:hAnsi="Verdana" w:cs="Arial"/>
          <w:b/>
          <w:sz w:val="22"/>
          <w:szCs w:val="24"/>
        </w:rPr>
        <w:t>Bedroom</w:t>
      </w:r>
      <w:r w:rsidR="003D1B6E" w:rsidRPr="004F6C01">
        <w:rPr>
          <w:rFonts w:ascii="Verdana" w:hAnsi="Verdana" w:cs="Arial"/>
          <w:b/>
          <w:sz w:val="22"/>
          <w:szCs w:val="24"/>
        </w:rPr>
        <w:t xml:space="preserve"> </w:t>
      </w:r>
      <w:r w:rsidRPr="004F6C01">
        <w:rPr>
          <w:rFonts w:ascii="Verdana" w:hAnsi="Verdana" w:cs="Arial"/>
          <w:b/>
          <w:sz w:val="22"/>
          <w:szCs w:val="24"/>
        </w:rPr>
        <w:t>Occupancy</w:t>
      </w:r>
      <w:r w:rsidR="003D1B6E" w:rsidRPr="004F6C01">
        <w:rPr>
          <w:rFonts w:ascii="Verdana" w:hAnsi="Verdana" w:cs="Arial"/>
          <w:b/>
          <w:sz w:val="22"/>
          <w:szCs w:val="24"/>
        </w:rPr>
        <w:t xml:space="preserve"> </w:t>
      </w:r>
      <w:r w:rsidRPr="004F6C01">
        <w:rPr>
          <w:rFonts w:ascii="Verdana" w:hAnsi="Verdana" w:cs="Arial"/>
          <w:b/>
          <w:sz w:val="22"/>
          <w:szCs w:val="24"/>
        </w:rPr>
        <w:t>rating</w:t>
      </w:r>
      <w:r w:rsidR="003D1B6E" w:rsidRPr="004F6C01">
        <w:rPr>
          <w:rFonts w:ascii="Verdana" w:hAnsi="Verdana" w:cs="Arial"/>
          <w:b/>
          <w:sz w:val="22"/>
          <w:szCs w:val="24"/>
        </w:rPr>
        <w:t xml:space="preserve"> </w:t>
      </w:r>
      <w:r w:rsidRPr="004F6C01">
        <w:rPr>
          <w:rFonts w:ascii="Verdana" w:hAnsi="Verdana" w:cs="Arial"/>
          <w:b/>
          <w:sz w:val="22"/>
          <w:szCs w:val="24"/>
        </w:rPr>
        <w:t>of</w:t>
      </w:r>
      <w:r w:rsidR="003D1B6E" w:rsidRPr="004F6C01">
        <w:rPr>
          <w:rFonts w:ascii="Verdana" w:hAnsi="Verdana" w:cs="Arial"/>
          <w:b/>
          <w:sz w:val="22"/>
          <w:szCs w:val="24"/>
        </w:rPr>
        <w:t xml:space="preserve"> </w:t>
      </w:r>
      <w:r w:rsidRPr="004F6C01">
        <w:rPr>
          <w:rFonts w:ascii="Verdana" w:hAnsi="Verdana" w:cs="Arial"/>
          <w:b/>
          <w:sz w:val="22"/>
          <w:szCs w:val="24"/>
        </w:rPr>
        <w:t>Older</w:t>
      </w:r>
      <w:r w:rsidR="003D1B6E" w:rsidRPr="004F6C01">
        <w:rPr>
          <w:rFonts w:ascii="Verdana" w:hAnsi="Verdana" w:cs="Arial"/>
          <w:b/>
          <w:sz w:val="22"/>
          <w:szCs w:val="24"/>
        </w:rPr>
        <w:t xml:space="preserve"> </w:t>
      </w:r>
      <w:r w:rsidRPr="004F6C01">
        <w:rPr>
          <w:rFonts w:ascii="Verdana" w:hAnsi="Verdana" w:cs="Arial"/>
          <w:b/>
          <w:sz w:val="22"/>
          <w:szCs w:val="24"/>
        </w:rPr>
        <w:t>Person</w:t>
      </w:r>
      <w:r w:rsidR="003D1B6E" w:rsidRPr="004F6C01">
        <w:rPr>
          <w:rFonts w:ascii="Verdana" w:hAnsi="Verdana" w:cs="Arial"/>
          <w:b/>
          <w:sz w:val="22"/>
          <w:szCs w:val="24"/>
        </w:rPr>
        <w:t xml:space="preserve"> </w:t>
      </w:r>
      <w:r w:rsidRPr="004F6C01">
        <w:rPr>
          <w:rFonts w:ascii="Verdana" w:hAnsi="Verdana" w:cs="Arial"/>
          <w:b/>
          <w:sz w:val="22"/>
          <w:szCs w:val="24"/>
        </w:rPr>
        <w:t>Households</w:t>
      </w:r>
      <w:r w:rsidR="00F56404" w:rsidRPr="004F6C01">
        <w:rPr>
          <w:rFonts w:ascii="Verdana" w:hAnsi="Verdana" w:cs="Arial"/>
          <w:b/>
          <w:sz w:val="22"/>
          <w:szCs w:val="24"/>
        </w:rPr>
        <w:t>,</w:t>
      </w:r>
      <w:r w:rsidR="00B83681" w:rsidRPr="004F6C01">
        <w:rPr>
          <w:rFonts w:ascii="Verdana" w:hAnsi="Verdana" w:cs="Arial"/>
          <w:b/>
          <w:sz w:val="22"/>
          <w:szCs w:val="24"/>
        </w:rPr>
        <w:br/>
      </w:r>
      <w:r w:rsidR="00F64A4F">
        <w:rPr>
          <w:rFonts w:ascii="Verdana" w:hAnsi="Verdana" w:cs="Arial"/>
          <w:b/>
          <w:sz w:val="22"/>
          <w:szCs w:val="24"/>
        </w:rPr>
        <w:t>Blackfordby</w:t>
      </w:r>
      <w:r w:rsidR="00E36FF9">
        <w:rPr>
          <w:rFonts w:ascii="Verdana" w:hAnsi="Verdana" w:cs="Arial"/>
          <w:b/>
          <w:sz w:val="22"/>
          <w:szCs w:val="24"/>
        </w:rPr>
        <w:t xml:space="preserve"> </w:t>
      </w:r>
      <w:r w:rsidR="00F64A4F">
        <w:rPr>
          <w:rFonts w:ascii="Verdana" w:hAnsi="Verdana" w:cs="Arial"/>
          <w:b/>
          <w:sz w:val="22"/>
          <w:szCs w:val="24"/>
        </w:rPr>
        <w:t>Local area</w:t>
      </w:r>
      <w:r w:rsidR="00611F12" w:rsidRPr="004F6C01">
        <w:rPr>
          <w:rFonts w:ascii="Verdana" w:hAnsi="Verdana" w:cs="Arial"/>
          <w:b/>
          <w:sz w:val="22"/>
          <w:szCs w:val="24"/>
        </w:rPr>
        <w:t>,</w:t>
      </w:r>
      <w:r w:rsidR="003D1B6E" w:rsidRPr="004F6C01">
        <w:rPr>
          <w:rFonts w:ascii="Verdana" w:hAnsi="Verdana" w:cs="Arial"/>
          <w:b/>
          <w:sz w:val="22"/>
          <w:szCs w:val="24"/>
        </w:rPr>
        <w:t xml:space="preserve"> </w:t>
      </w:r>
      <w:r w:rsidRPr="004F6C01">
        <w:rPr>
          <w:rFonts w:ascii="Verdana" w:hAnsi="Verdana" w:cs="Arial"/>
          <w:b/>
          <w:sz w:val="22"/>
          <w:szCs w:val="24"/>
        </w:rPr>
        <w:t>2011</w:t>
      </w:r>
    </w:p>
    <w:p w14:paraId="17382BA9" w14:textId="77777777" w:rsidR="008944B0" w:rsidRPr="00F37FDE" w:rsidRDefault="001318D6" w:rsidP="00FF7A05">
      <w:pPr>
        <w:keepNext/>
        <w:keepLines/>
        <w:spacing w:after="0" w:line="240" w:lineRule="auto"/>
        <w:jc w:val="center"/>
        <w:rPr>
          <w:rFonts w:ascii="Verdana" w:hAnsi="Verdana" w:cs="Arial"/>
          <w:sz w:val="24"/>
          <w:szCs w:val="24"/>
        </w:rPr>
      </w:pPr>
      <w:r>
        <w:rPr>
          <w:rFonts w:ascii="Verdana" w:hAnsi="Verdana" w:cs="Arial"/>
          <w:noProof/>
          <w:sz w:val="24"/>
          <w:szCs w:val="24"/>
          <w:lang w:eastAsia="en-GB"/>
        </w:rPr>
        <w:drawing>
          <wp:inline distT="0" distB="0" distL="0" distR="0" wp14:anchorId="25F51066" wp14:editId="09257F2C">
            <wp:extent cx="5716631" cy="320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21991" cy="3203401"/>
                    </a:xfrm>
                    <a:prstGeom prst="rect">
                      <a:avLst/>
                    </a:prstGeom>
                    <a:noFill/>
                  </pic:spPr>
                </pic:pic>
              </a:graphicData>
            </a:graphic>
          </wp:inline>
        </w:drawing>
      </w:r>
    </w:p>
    <w:p w14:paraId="60EFAF03" w14:textId="77777777" w:rsidR="00773C04" w:rsidRPr="00F37FDE" w:rsidRDefault="00773C04" w:rsidP="00FF7A05">
      <w:pPr>
        <w:pStyle w:val="NoSpacing"/>
        <w:keepNext/>
        <w:keepLines/>
        <w:jc w:val="center"/>
        <w:rPr>
          <w:rFonts w:ascii="Verdana" w:hAnsi="Verdana" w:cs="Arial"/>
          <w:i/>
          <w:sz w:val="20"/>
          <w:szCs w:val="24"/>
        </w:rPr>
      </w:pPr>
      <w:r w:rsidRPr="00F37FDE">
        <w:rPr>
          <w:rFonts w:ascii="Verdana" w:hAnsi="Verdana" w:cs="Arial"/>
          <w:i/>
          <w:sz w:val="20"/>
          <w:szCs w:val="24"/>
        </w:rPr>
        <w:t>Source:</w:t>
      </w:r>
      <w:r w:rsidR="003D1B6E" w:rsidRPr="00F37FDE">
        <w:rPr>
          <w:rFonts w:ascii="Verdana" w:hAnsi="Verdana" w:cs="Arial"/>
          <w:i/>
          <w:sz w:val="20"/>
          <w:szCs w:val="24"/>
        </w:rPr>
        <w:t xml:space="preserve"> </w:t>
      </w:r>
      <w:r w:rsidRPr="00F37FDE">
        <w:rPr>
          <w:rFonts w:ascii="Verdana" w:hAnsi="Verdana" w:cs="Arial"/>
          <w:i/>
          <w:sz w:val="20"/>
          <w:szCs w:val="24"/>
        </w:rPr>
        <w:t>Census</w:t>
      </w:r>
      <w:r w:rsidR="003D1B6E" w:rsidRPr="00F37FDE">
        <w:rPr>
          <w:rFonts w:ascii="Verdana" w:hAnsi="Verdana" w:cs="Arial"/>
          <w:i/>
          <w:sz w:val="20"/>
          <w:szCs w:val="24"/>
        </w:rPr>
        <w:t xml:space="preserve"> </w:t>
      </w:r>
      <w:r w:rsidRPr="00F37FDE">
        <w:rPr>
          <w:rFonts w:ascii="Verdana" w:hAnsi="Verdana" w:cs="Arial"/>
          <w:i/>
          <w:sz w:val="20"/>
          <w:szCs w:val="24"/>
        </w:rPr>
        <w:t>2011,</w:t>
      </w:r>
      <w:r w:rsidR="003D1B6E" w:rsidRPr="00F37FDE">
        <w:rPr>
          <w:rFonts w:ascii="Verdana" w:hAnsi="Verdana" w:cs="Arial"/>
          <w:i/>
          <w:sz w:val="20"/>
          <w:szCs w:val="24"/>
        </w:rPr>
        <w:t xml:space="preserve"> </w:t>
      </w:r>
      <w:r w:rsidRPr="00F37FDE">
        <w:rPr>
          <w:rFonts w:ascii="Verdana" w:hAnsi="Verdana" w:cs="Arial"/>
          <w:i/>
          <w:sz w:val="20"/>
          <w:szCs w:val="24"/>
        </w:rPr>
        <w:t>LC4105EW</w:t>
      </w:r>
    </w:p>
    <w:p w14:paraId="6619DDE7" w14:textId="77777777" w:rsidR="00773C04" w:rsidRPr="005D272B" w:rsidRDefault="00773C04" w:rsidP="008B5A87">
      <w:pPr>
        <w:pStyle w:val="NoSpacing"/>
        <w:jc w:val="both"/>
        <w:rPr>
          <w:rFonts w:ascii="Verdana" w:hAnsi="Verdana" w:cs="Arial"/>
          <w:sz w:val="20"/>
          <w:szCs w:val="24"/>
        </w:rPr>
      </w:pPr>
    </w:p>
    <w:p w14:paraId="0962E2A1" w14:textId="77777777" w:rsidR="00292563" w:rsidRPr="00F37FDE" w:rsidRDefault="00292563" w:rsidP="008B5A87">
      <w:pPr>
        <w:pStyle w:val="NoSpacing"/>
        <w:jc w:val="both"/>
        <w:rPr>
          <w:rFonts w:ascii="Verdana" w:hAnsi="Verdana" w:cs="Arial"/>
          <w:sz w:val="24"/>
          <w:szCs w:val="24"/>
        </w:rPr>
      </w:pPr>
      <w:r w:rsidRPr="00F37FDE">
        <w:rPr>
          <w:rFonts w:ascii="Verdana" w:hAnsi="Verdana" w:cs="Arial"/>
          <w:sz w:val="24"/>
          <w:szCs w:val="24"/>
        </w:rPr>
        <w:t>Overcrowding</w:t>
      </w:r>
      <w:r w:rsidR="003D1B6E" w:rsidRPr="00F37FDE">
        <w:rPr>
          <w:rFonts w:ascii="Verdana" w:hAnsi="Verdana" w:cs="Arial"/>
          <w:sz w:val="24"/>
          <w:szCs w:val="24"/>
        </w:rPr>
        <w:t xml:space="preserve"> </w:t>
      </w:r>
      <w:r w:rsidRPr="00F37FDE">
        <w:rPr>
          <w:rFonts w:ascii="Verdana" w:hAnsi="Verdana" w:cs="Arial"/>
          <w:sz w:val="24"/>
          <w:szCs w:val="24"/>
        </w:rPr>
        <w:t>is</w:t>
      </w:r>
      <w:r w:rsidR="003D1B6E" w:rsidRPr="00F37FDE">
        <w:rPr>
          <w:rFonts w:ascii="Verdana" w:hAnsi="Verdana" w:cs="Arial"/>
          <w:sz w:val="24"/>
          <w:szCs w:val="24"/>
        </w:rPr>
        <w:t xml:space="preserve"> </w:t>
      </w:r>
      <w:r w:rsidRPr="00F37FDE">
        <w:rPr>
          <w:rFonts w:ascii="Verdana" w:hAnsi="Verdana" w:cs="Arial"/>
          <w:sz w:val="24"/>
          <w:szCs w:val="24"/>
        </w:rPr>
        <w:t>not</w:t>
      </w:r>
      <w:r w:rsidR="003D1B6E" w:rsidRPr="00F37FDE">
        <w:rPr>
          <w:rFonts w:ascii="Verdana" w:hAnsi="Verdana" w:cs="Arial"/>
          <w:sz w:val="24"/>
          <w:szCs w:val="24"/>
        </w:rPr>
        <w:t xml:space="preserve"> </w:t>
      </w:r>
      <w:r w:rsidRPr="00F37FDE">
        <w:rPr>
          <w:rFonts w:ascii="Verdana" w:hAnsi="Verdana" w:cs="Arial"/>
          <w:sz w:val="24"/>
          <w:szCs w:val="24"/>
        </w:rPr>
        <w:t>a</w:t>
      </w:r>
      <w:r w:rsidR="003D1B6E" w:rsidRPr="00F37FDE">
        <w:rPr>
          <w:rFonts w:ascii="Verdana" w:hAnsi="Verdana" w:cs="Arial"/>
          <w:sz w:val="24"/>
          <w:szCs w:val="24"/>
        </w:rPr>
        <w:t xml:space="preserve"> </w:t>
      </w:r>
      <w:r w:rsidRPr="00F37FDE">
        <w:rPr>
          <w:rFonts w:ascii="Verdana" w:hAnsi="Verdana" w:cs="Arial"/>
          <w:sz w:val="24"/>
          <w:szCs w:val="24"/>
        </w:rPr>
        <w:t>signi</w:t>
      </w:r>
      <w:r w:rsidR="00A56754" w:rsidRPr="00F37FDE">
        <w:rPr>
          <w:rFonts w:ascii="Verdana" w:hAnsi="Verdana" w:cs="Arial"/>
          <w:sz w:val="24"/>
          <w:szCs w:val="24"/>
        </w:rPr>
        <w:t>ficant</w:t>
      </w:r>
      <w:r w:rsidR="003D1B6E" w:rsidRPr="00F37FDE">
        <w:rPr>
          <w:rFonts w:ascii="Verdana" w:hAnsi="Verdana" w:cs="Arial"/>
          <w:sz w:val="24"/>
          <w:szCs w:val="24"/>
        </w:rPr>
        <w:t xml:space="preserve"> </w:t>
      </w:r>
      <w:r w:rsidR="00A56754" w:rsidRPr="00F37FDE">
        <w:rPr>
          <w:rFonts w:ascii="Verdana" w:hAnsi="Verdana" w:cs="Arial"/>
          <w:sz w:val="24"/>
          <w:szCs w:val="24"/>
        </w:rPr>
        <w:t>issue</w:t>
      </w:r>
      <w:r w:rsidR="003D1B6E" w:rsidRPr="00F37FDE">
        <w:rPr>
          <w:rFonts w:ascii="Verdana" w:hAnsi="Verdana" w:cs="Arial"/>
          <w:sz w:val="24"/>
          <w:szCs w:val="24"/>
        </w:rPr>
        <w:t xml:space="preserve"> </w:t>
      </w:r>
      <w:r w:rsidR="00A56754" w:rsidRPr="00F37FDE">
        <w:rPr>
          <w:rFonts w:ascii="Verdana" w:hAnsi="Verdana" w:cs="Arial"/>
          <w:sz w:val="24"/>
          <w:szCs w:val="24"/>
        </w:rPr>
        <w:t>in</w:t>
      </w:r>
      <w:r w:rsidR="003D1B6E" w:rsidRPr="00F37FDE">
        <w:rPr>
          <w:rFonts w:ascii="Verdana" w:hAnsi="Verdana" w:cs="Arial"/>
          <w:sz w:val="24"/>
          <w:szCs w:val="24"/>
        </w:rPr>
        <w:t xml:space="preserve"> </w:t>
      </w:r>
      <w:r w:rsidR="00A56754" w:rsidRPr="00F37FDE">
        <w:rPr>
          <w:rFonts w:ascii="Verdana" w:hAnsi="Verdana" w:cs="Arial"/>
          <w:sz w:val="24"/>
          <w:szCs w:val="24"/>
        </w:rPr>
        <w:t>the</w:t>
      </w:r>
      <w:r w:rsidR="003D1B6E" w:rsidRPr="00F37FDE">
        <w:rPr>
          <w:rFonts w:ascii="Verdana" w:hAnsi="Verdana" w:cs="Arial"/>
          <w:sz w:val="24"/>
          <w:szCs w:val="24"/>
        </w:rPr>
        <w:t xml:space="preserve"> </w:t>
      </w:r>
      <w:r w:rsidR="00F64A4F">
        <w:rPr>
          <w:rFonts w:ascii="Verdana" w:hAnsi="Verdana" w:cs="Arial"/>
          <w:sz w:val="24"/>
          <w:szCs w:val="24"/>
        </w:rPr>
        <w:t>local area</w:t>
      </w:r>
      <w:r w:rsidRPr="00F37FDE">
        <w:rPr>
          <w:rFonts w:ascii="Verdana" w:hAnsi="Verdana" w:cs="Arial"/>
          <w:sz w:val="24"/>
          <w:szCs w:val="24"/>
        </w:rPr>
        <w:t>,</w:t>
      </w:r>
      <w:r w:rsidR="003D1B6E" w:rsidRPr="00F37FDE">
        <w:rPr>
          <w:rFonts w:ascii="Verdana" w:hAnsi="Verdana" w:cs="Arial"/>
          <w:sz w:val="24"/>
          <w:szCs w:val="24"/>
        </w:rPr>
        <w:t xml:space="preserve"> </w:t>
      </w:r>
      <w:r w:rsidRPr="00F37FDE">
        <w:rPr>
          <w:rFonts w:ascii="Verdana" w:hAnsi="Verdana" w:cs="Arial"/>
          <w:sz w:val="24"/>
          <w:szCs w:val="24"/>
        </w:rPr>
        <w:t>however,</w:t>
      </w:r>
      <w:r w:rsidR="003D1B6E" w:rsidRPr="00F37FDE">
        <w:rPr>
          <w:rFonts w:ascii="Verdana" w:hAnsi="Verdana" w:cs="Arial"/>
          <w:sz w:val="24"/>
          <w:szCs w:val="24"/>
        </w:rPr>
        <w:t xml:space="preserve"> </w:t>
      </w:r>
      <w:r w:rsidRPr="00F37FDE">
        <w:rPr>
          <w:rFonts w:ascii="Verdana" w:hAnsi="Verdana" w:cs="Arial"/>
          <w:sz w:val="24"/>
          <w:szCs w:val="24"/>
        </w:rPr>
        <w:t>research</w:t>
      </w:r>
      <w:r w:rsidR="003D1B6E" w:rsidRPr="00F37FDE">
        <w:rPr>
          <w:rFonts w:ascii="Verdana" w:hAnsi="Verdana" w:cs="Arial"/>
          <w:sz w:val="24"/>
          <w:szCs w:val="24"/>
        </w:rPr>
        <w:t xml:space="preserve"> </w:t>
      </w:r>
      <w:r w:rsidRPr="00F37FDE">
        <w:rPr>
          <w:rFonts w:ascii="Verdana" w:hAnsi="Verdana" w:cs="Arial"/>
          <w:sz w:val="24"/>
          <w:szCs w:val="24"/>
        </w:rPr>
        <w:t>shows</w:t>
      </w:r>
      <w:r w:rsidR="003D1B6E" w:rsidRPr="00F37FDE">
        <w:rPr>
          <w:rFonts w:ascii="Verdana" w:hAnsi="Verdana" w:cs="Arial"/>
          <w:sz w:val="24"/>
          <w:szCs w:val="24"/>
        </w:rPr>
        <w:t xml:space="preserve"> </w:t>
      </w:r>
      <w:r w:rsidRPr="00F37FDE">
        <w:rPr>
          <w:rFonts w:ascii="Verdana" w:hAnsi="Verdana" w:cs="Arial"/>
          <w:sz w:val="24"/>
          <w:szCs w:val="24"/>
        </w:rPr>
        <w:t>that</w:t>
      </w:r>
      <w:r w:rsidR="003D1B6E" w:rsidRPr="00F37FDE">
        <w:rPr>
          <w:rFonts w:ascii="Verdana" w:hAnsi="Verdana" w:cs="Arial"/>
          <w:sz w:val="24"/>
          <w:szCs w:val="24"/>
        </w:rPr>
        <w:t xml:space="preserve"> </w:t>
      </w:r>
      <w:r w:rsidRPr="00F37FDE">
        <w:rPr>
          <w:rFonts w:ascii="Verdana" w:hAnsi="Verdana" w:cs="Arial"/>
          <w:sz w:val="24"/>
          <w:szCs w:val="24"/>
        </w:rPr>
        <w:t>households</w:t>
      </w:r>
      <w:r w:rsidR="003D1B6E" w:rsidRPr="00F37FDE">
        <w:rPr>
          <w:rFonts w:ascii="Verdana" w:hAnsi="Verdana" w:cs="Arial"/>
          <w:sz w:val="24"/>
          <w:szCs w:val="24"/>
        </w:rPr>
        <w:t xml:space="preserve"> </w:t>
      </w:r>
      <w:r w:rsidRPr="00F37FDE">
        <w:rPr>
          <w:rFonts w:ascii="Verdana" w:hAnsi="Verdana" w:cs="Arial"/>
          <w:sz w:val="24"/>
          <w:szCs w:val="24"/>
        </w:rPr>
        <w:t>with</w:t>
      </w:r>
      <w:r w:rsidR="003D1B6E" w:rsidRPr="00F37FDE">
        <w:rPr>
          <w:rFonts w:ascii="Verdana" w:hAnsi="Verdana" w:cs="Arial"/>
          <w:sz w:val="24"/>
          <w:szCs w:val="24"/>
        </w:rPr>
        <w:t xml:space="preserve"> </w:t>
      </w:r>
      <w:r w:rsidR="00DD1E88">
        <w:rPr>
          <w:rFonts w:ascii="Verdana" w:hAnsi="Verdana" w:cs="Arial"/>
          <w:sz w:val="24"/>
          <w:szCs w:val="24"/>
        </w:rPr>
        <w:t xml:space="preserve">dependent </w:t>
      </w:r>
      <w:r w:rsidRPr="00F37FDE">
        <w:rPr>
          <w:rFonts w:ascii="Verdana" w:hAnsi="Verdana" w:cs="Arial"/>
          <w:sz w:val="24"/>
          <w:szCs w:val="24"/>
        </w:rPr>
        <w:t>children</w:t>
      </w:r>
      <w:r w:rsidR="003D1B6E" w:rsidRPr="00F37FDE">
        <w:rPr>
          <w:rFonts w:ascii="Verdana" w:hAnsi="Verdana" w:cs="Arial"/>
          <w:sz w:val="24"/>
          <w:szCs w:val="24"/>
        </w:rPr>
        <w:t xml:space="preserve"> </w:t>
      </w:r>
      <w:r w:rsidRPr="00F37FDE">
        <w:rPr>
          <w:rFonts w:ascii="Verdana" w:hAnsi="Verdana" w:cs="Arial"/>
          <w:sz w:val="24"/>
          <w:szCs w:val="24"/>
        </w:rPr>
        <w:t>are</w:t>
      </w:r>
      <w:r w:rsidR="003D1B6E" w:rsidRPr="00F37FDE">
        <w:rPr>
          <w:rFonts w:ascii="Verdana" w:hAnsi="Verdana" w:cs="Arial"/>
          <w:sz w:val="24"/>
          <w:szCs w:val="24"/>
        </w:rPr>
        <w:t xml:space="preserve"> </w:t>
      </w:r>
      <w:r w:rsidRPr="00F37FDE">
        <w:rPr>
          <w:rFonts w:ascii="Verdana" w:hAnsi="Verdana" w:cs="Arial"/>
          <w:sz w:val="24"/>
          <w:szCs w:val="24"/>
        </w:rPr>
        <w:t>more</w:t>
      </w:r>
      <w:r w:rsidR="003D1B6E" w:rsidRPr="00F37FDE">
        <w:rPr>
          <w:rFonts w:ascii="Verdana" w:hAnsi="Verdana" w:cs="Arial"/>
          <w:sz w:val="24"/>
          <w:szCs w:val="24"/>
        </w:rPr>
        <w:t xml:space="preserve"> </w:t>
      </w:r>
      <w:r w:rsidR="00A56754" w:rsidRPr="00F37FDE">
        <w:rPr>
          <w:rFonts w:ascii="Verdana" w:hAnsi="Verdana" w:cs="Arial"/>
          <w:sz w:val="24"/>
          <w:szCs w:val="24"/>
        </w:rPr>
        <w:t>likely</w:t>
      </w:r>
      <w:r w:rsidR="003D1B6E" w:rsidRPr="00F37FDE">
        <w:rPr>
          <w:rFonts w:ascii="Verdana" w:hAnsi="Verdana" w:cs="Arial"/>
          <w:sz w:val="24"/>
          <w:szCs w:val="24"/>
        </w:rPr>
        <w:t xml:space="preserve"> </w:t>
      </w:r>
      <w:r w:rsidRPr="00F37FDE">
        <w:rPr>
          <w:rFonts w:ascii="Verdana" w:hAnsi="Verdana" w:cs="Arial"/>
          <w:sz w:val="24"/>
          <w:szCs w:val="24"/>
        </w:rPr>
        <w:t>to</w:t>
      </w:r>
      <w:r w:rsidR="003D1B6E" w:rsidRPr="00F37FDE">
        <w:rPr>
          <w:rFonts w:ascii="Verdana" w:hAnsi="Verdana" w:cs="Arial"/>
          <w:sz w:val="24"/>
          <w:szCs w:val="24"/>
        </w:rPr>
        <w:t xml:space="preserve"> </w:t>
      </w:r>
      <w:r w:rsidRPr="00F37FDE">
        <w:rPr>
          <w:rFonts w:ascii="Verdana" w:hAnsi="Verdana" w:cs="Arial"/>
          <w:sz w:val="24"/>
          <w:szCs w:val="24"/>
        </w:rPr>
        <w:t>be</w:t>
      </w:r>
      <w:r w:rsidR="003D1B6E" w:rsidRPr="00F37FDE">
        <w:rPr>
          <w:rFonts w:ascii="Verdana" w:hAnsi="Verdana" w:cs="Arial"/>
          <w:sz w:val="24"/>
          <w:szCs w:val="24"/>
        </w:rPr>
        <w:t xml:space="preserve"> </w:t>
      </w:r>
      <w:r w:rsidRPr="00F37FDE">
        <w:rPr>
          <w:rFonts w:ascii="Verdana" w:hAnsi="Verdana" w:cs="Arial"/>
          <w:sz w:val="24"/>
          <w:szCs w:val="24"/>
        </w:rPr>
        <w:t>overcrowded.</w:t>
      </w:r>
      <w:r w:rsidR="003D1B6E" w:rsidRPr="00F37FDE">
        <w:rPr>
          <w:rFonts w:ascii="Verdana" w:hAnsi="Verdana" w:cs="Arial"/>
          <w:sz w:val="24"/>
          <w:szCs w:val="24"/>
        </w:rPr>
        <w:t xml:space="preserve"> </w:t>
      </w:r>
      <w:r w:rsidRPr="00F37FDE">
        <w:rPr>
          <w:rFonts w:ascii="Verdana" w:hAnsi="Verdana" w:cs="Arial"/>
          <w:sz w:val="24"/>
          <w:szCs w:val="24"/>
        </w:rPr>
        <w:t>The</w:t>
      </w:r>
      <w:r w:rsidR="003D1B6E" w:rsidRPr="00F37FDE">
        <w:rPr>
          <w:rFonts w:ascii="Verdana" w:hAnsi="Verdana" w:cs="Arial"/>
          <w:sz w:val="24"/>
          <w:szCs w:val="24"/>
        </w:rPr>
        <w:t xml:space="preserve"> </w:t>
      </w:r>
      <w:r w:rsidRPr="00F37FDE">
        <w:rPr>
          <w:rFonts w:ascii="Verdana" w:hAnsi="Verdana" w:cs="Arial"/>
          <w:sz w:val="24"/>
          <w:szCs w:val="24"/>
        </w:rPr>
        <w:t>Census</w:t>
      </w:r>
      <w:r w:rsidR="003D1B6E" w:rsidRPr="00F37FDE">
        <w:rPr>
          <w:rFonts w:ascii="Verdana" w:hAnsi="Verdana" w:cs="Arial"/>
          <w:sz w:val="24"/>
          <w:szCs w:val="24"/>
        </w:rPr>
        <w:t xml:space="preserve"> </w:t>
      </w:r>
      <w:r w:rsidRPr="00F37FDE">
        <w:rPr>
          <w:rFonts w:ascii="Verdana" w:hAnsi="Verdana" w:cs="Arial"/>
          <w:sz w:val="24"/>
          <w:szCs w:val="24"/>
        </w:rPr>
        <w:t>implies</w:t>
      </w:r>
      <w:r w:rsidR="003D1B6E" w:rsidRPr="00F37FDE">
        <w:rPr>
          <w:rFonts w:ascii="Verdana" w:hAnsi="Verdana" w:cs="Arial"/>
          <w:sz w:val="24"/>
          <w:szCs w:val="24"/>
        </w:rPr>
        <w:t xml:space="preserve"> </w:t>
      </w:r>
      <w:r w:rsidRPr="00F37FDE">
        <w:rPr>
          <w:rFonts w:ascii="Verdana" w:hAnsi="Verdana" w:cs="Arial"/>
          <w:sz w:val="24"/>
          <w:szCs w:val="24"/>
        </w:rPr>
        <w:t>there</w:t>
      </w:r>
      <w:r w:rsidR="003D1B6E" w:rsidRPr="00F37FDE">
        <w:rPr>
          <w:rFonts w:ascii="Verdana" w:hAnsi="Verdana" w:cs="Arial"/>
          <w:sz w:val="24"/>
          <w:szCs w:val="24"/>
        </w:rPr>
        <w:t xml:space="preserve"> </w:t>
      </w:r>
      <w:r w:rsidRPr="00F37FDE">
        <w:rPr>
          <w:rFonts w:ascii="Verdana" w:hAnsi="Verdana" w:cs="Arial"/>
          <w:sz w:val="24"/>
          <w:szCs w:val="24"/>
        </w:rPr>
        <w:t>is</w:t>
      </w:r>
      <w:r w:rsidR="003D1B6E" w:rsidRPr="00F37FDE">
        <w:rPr>
          <w:rFonts w:ascii="Verdana" w:hAnsi="Verdana" w:cs="Arial"/>
          <w:sz w:val="24"/>
          <w:szCs w:val="24"/>
        </w:rPr>
        <w:t xml:space="preserve"> </w:t>
      </w:r>
      <w:r w:rsidR="008944B0">
        <w:rPr>
          <w:rFonts w:ascii="Verdana" w:hAnsi="Verdana" w:cs="Arial"/>
          <w:sz w:val="24"/>
          <w:szCs w:val="24"/>
        </w:rPr>
        <w:t>some</w:t>
      </w:r>
      <w:r w:rsidR="003D1B6E" w:rsidRPr="00F37FDE">
        <w:rPr>
          <w:rFonts w:ascii="Verdana" w:hAnsi="Verdana" w:cs="Arial"/>
          <w:sz w:val="24"/>
          <w:szCs w:val="24"/>
        </w:rPr>
        <w:t xml:space="preserve"> </w:t>
      </w:r>
      <w:r w:rsidRPr="00F37FDE">
        <w:rPr>
          <w:rFonts w:ascii="Verdana" w:hAnsi="Verdana" w:cs="Arial"/>
          <w:sz w:val="24"/>
          <w:szCs w:val="24"/>
        </w:rPr>
        <w:t>evidence</w:t>
      </w:r>
      <w:r w:rsidR="003D1B6E" w:rsidRPr="00F37FDE">
        <w:rPr>
          <w:rFonts w:ascii="Verdana" w:hAnsi="Verdana" w:cs="Arial"/>
          <w:sz w:val="24"/>
          <w:szCs w:val="24"/>
        </w:rPr>
        <w:t xml:space="preserve"> </w:t>
      </w:r>
      <w:r w:rsidRPr="00F37FDE">
        <w:rPr>
          <w:rFonts w:ascii="Verdana" w:hAnsi="Verdana" w:cs="Arial"/>
          <w:sz w:val="24"/>
          <w:szCs w:val="24"/>
        </w:rPr>
        <w:t>of</w:t>
      </w:r>
      <w:r w:rsidR="008944B0">
        <w:rPr>
          <w:rFonts w:ascii="Verdana" w:hAnsi="Verdana" w:cs="Arial"/>
          <w:sz w:val="24"/>
          <w:szCs w:val="24"/>
        </w:rPr>
        <w:t xml:space="preserve"> </w:t>
      </w:r>
      <w:r w:rsidR="00CA382E">
        <w:rPr>
          <w:rFonts w:ascii="Verdana" w:hAnsi="Verdana" w:cs="Arial"/>
          <w:sz w:val="24"/>
          <w:szCs w:val="24"/>
        </w:rPr>
        <w:t>a s</w:t>
      </w:r>
      <w:r w:rsidR="008944B0">
        <w:rPr>
          <w:rFonts w:ascii="Verdana" w:hAnsi="Verdana" w:cs="Arial"/>
          <w:sz w:val="24"/>
          <w:szCs w:val="24"/>
        </w:rPr>
        <w:t>mall number</w:t>
      </w:r>
      <w:r w:rsidR="002519F9">
        <w:rPr>
          <w:rFonts w:ascii="Verdana" w:hAnsi="Verdana" w:cs="Arial"/>
          <w:sz w:val="24"/>
          <w:szCs w:val="24"/>
        </w:rPr>
        <w:t xml:space="preserve"> </w:t>
      </w:r>
      <w:r w:rsidR="008944B0">
        <w:rPr>
          <w:rFonts w:ascii="Verdana" w:hAnsi="Verdana" w:cs="Arial"/>
          <w:sz w:val="24"/>
          <w:szCs w:val="24"/>
        </w:rPr>
        <w:t>of</w:t>
      </w:r>
      <w:r w:rsidR="003D1B6E" w:rsidRPr="00F37FDE">
        <w:rPr>
          <w:rFonts w:ascii="Verdana" w:hAnsi="Verdana" w:cs="Arial"/>
          <w:sz w:val="24"/>
          <w:szCs w:val="24"/>
        </w:rPr>
        <w:t xml:space="preserve"> </w:t>
      </w:r>
      <w:r w:rsidR="006B2FEE" w:rsidRPr="00F37FDE">
        <w:rPr>
          <w:rFonts w:ascii="Verdana" w:hAnsi="Verdana" w:cs="Arial"/>
          <w:sz w:val="24"/>
          <w:szCs w:val="24"/>
        </w:rPr>
        <w:t xml:space="preserve">families </w:t>
      </w:r>
      <w:r w:rsidR="00166C80">
        <w:rPr>
          <w:rFonts w:ascii="Verdana" w:hAnsi="Verdana" w:cs="Arial"/>
          <w:sz w:val="24"/>
          <w:szCs w:val="24"/>
        </w:rPr>
        <w:t xml:space="preserve">with dependent children </w:t>
      </w:r>
      <w:r w:rsidR="006B2FEE" w:rsidRPr="00F37FDE">
        <w:rPr>
          <w:rFonts w:ascii="Verdana" w:hAnsi="Verdana" w:cs="Arial"/>
          <w:sz w:val="24"/>
          <w:szCs w:val="24"/>
        </w:rPr>
        <w:t xml:space="preserve">living in overcrowded households in </w:t>
      </w:r>
      <w:r w:rsidR="00F64A4F">
        <w:rPr>
          <w:rFonts w:ascii="Verdana" w:hAnsi="Verdana" w:cs="Arial"/>
          <w:sz w:val="24"/>
          <w:szCs w:val="24"/>
        </w:rPr>
        <w:t>Blackfordby</w:t>
      </w:r>
      <w:r w:rsidR="008944B0">
        <w:rPr>
          <w:rFonts w:ascii="Verdana" w:hAnsi="Verdana" w:cs="Arial"/>
          <w:sz w:val="24"/>
          <w:szCs w:val="24"/>
        </w:rPr>
        <w:t>.</w:t>
      </w:r>
    </w:p>
    <w:p w14:paraId="319CE9B2" w14:textId="77777777" w:rsidR="00A25FFE" w:rsidRPr="00F37FDE" w:rsidRDefault="00A25FFE" w:rsidP="008B5A87">
      <w:pPr>
        <w:spacing w:after="0" w:line="240" w:lineRule="auto"/>
        <w:rPr>
          <w:rFonts w:ascii="Verdana" w:hAnsi="Verdana" w:cs="Arial"/>
          <w:sz w:val="24"/>
          <w:szCs w:val="24"/>
        </w:rPr>
      </w:pPr>
    </w:p>
    <w:p w14:paraId="6BBE15C6" w14:textId="77777777" w:rsidR="00A25FFE" w:rsidRDefault="00BB0225" w:rsidP="005D272B">
      <w:pPr>
        <w:pStyle w:val="Caption"/>
        <w:keepNext/>
        <w:spacing w:after="80"/>
        <w:jc w:val="center"/>
        <w:rPr>
          <w:rFonts w:ascii="Verdana" w:hAnsi="Verdana" w:cs="Arial"/>
          <w:b/>
          <w:sz w:val="22"/>
          <w:szCs w:val="24"/>
        </w:rPr>
      </w:pPr>
      <w:r w:rsidRPr="004F6C01">
        <w:rPr>
          <w:rFonts w:ascii="Verdana" w:hAnsi="Verdana" w:cs="Arial"/>
          <w:b/>
          <w:sz w:val="22"/>
          <w:szCs w:val="24"/>
        </w:rPr>
        <w:t>Figure</w:t>
      </w:r>
      <w:r w:rsidR="003D1B6E" w:rsidRPr="004F6C01">
        <w:rPr>
          <w:rFonts w:ascii="Verdana" w:hAnsi="Verdana" w:cs="Arial"/>
          <w:b/>
          <w:sz w:val="22"/>
          <w:szCs w:val="24"/>
        </w:rPr>
        <w:t xml:space="preserve"> </w:t>
      </w:r>
      <w:r w:rsidR="00913D88">
        <w:rPr>
          <w:rFonts w:ascii="Verdana" w:hAnsi="Verdana" w:cs="Arial"/>
          <w:b/>
          <w:sz w:val="22"/>
          <w:szCs w:val="24"/>
        </w:rPr>
        <w:fldChar w:fldCharType="begin"/>
      </w:r>
      <w:r w:rsidR="00913D88">
        <w:rPr>
          <w:rFonts w:ascii="Verdana" w:hAnsi="Verdana" w:cs="Arial"/>
          <w:b/>
          <w:sz w:val="22"/>
          <w:szCs w:val="24"/>
        </w:rPr>
        <w:instrText xml:space="preserve"> SEQ Figure \* ARABIC </w:instrText>
      </w:r>
      <w:r w:rsidR="00913D88">
        <w:rPr>
          <w:rFonts w:ascii="Verdana" w:hAnsi="Verdana" w:cs="Arial"/>
          <w:b/>
          <w:sz w:val="22"/>
          <w:szCs w:val="24"/>
        </w:rPr>
        <w:fldChar w:fldCharType="separate"/>
      </w:r>
      <w:r w:rsidR="00CA4EB9">
        <w:rPr>
          <w:rFonts w:ascii="Verdana" w:hAnsi="Verdana" w:cs="Arial"/>
          <w:b/>
          <w:noProof/>
          <w:sz w:val="22"/>
          <w:szCs w:val="24"/>
        </w:rPr>
        <w:t>5</w:t>
      </w:r>
      <w:r w:rsidR="00913D88">
        <w:rPr>
          <w:rFonts w:ascii="Verdana" w:hAnsi="Verdana" w:cs="Arial"/>
          <w:b/>
          <w:sz w:val="22"/>
          <w:szCs w:val="24"/>
        </w:rPr>
        <w:fldChar w:fldCharType="end"/>
      </w:r>
      <w:r w:rsidRPr="004F6C01">
        <w:rPr>
          <w:rFonts w:ascii="Verdana" w:hAnsi="Verdana" w:cs="Arial"/>
          <w:b/>
          <w:sz w:val="22"/>
          <w:szCs w:val="24"/>
        </w:rPr>
        <w:t>:</w:t>
      </w:r>
      <w:r w:rsidR="003D1B6E" w:rsidRPr="004F6C01">
        <w:rPr>
          <w:rFonts w:ascii="Verdana" w:hAnsi="Verdana" w:cs="Arial"/>
          <w:b/>
          <w:sz w:val="22"/>
          <w:szCs w:val="24"/>
        </w:rPr>
        <w:t xml:space="preserve"> </w:t>
      </w:r>
      <w:r w:rsidRPr="004F6C01">
        <w:rPr>
          <w:rFonts w:ascii="Verdana" w:hAnsi="Verdana" w:cs="Arial"/>
          <w:b/>
          <w:sz w:val="22"/>
          <w:szCs w:val="24"/>
        </w:rPr>
        <w:t>Bedroom</w:t>
      </w:r>
      <w:r w:rsidR="003D1B6E" w:rsidRPr="004F6C01">
        <w:rPr>
          <w:rFonts w:ascii="Verdana" w:hAnsi="Verdana" w:cs="Arial"/>
          <w:b/>
          <w:sz w:val="22"/>
          <w:szCs w:val="24"/>
        </w:rPr>
        <w:t xml:space="preserve"> </w:t>
      </w:r>
      <w:r w:rsidRPr="004F6C01">
        <w:rPr>
          <w:rFonts w:ascii="Verdana" w:hAnsi="Verdana" w:cs="Arial"/>
          <w:b/>
          <w:sz w:val="22"/>
          <w:szCs w:val="24"/>
        </w:rPr>
        <w:t>Occupancy</w:t>
      </w:r>
      <w:r w:rsidR="003D1B6E" w:rsidRPr="004F6C01">
        <w:rPr>
          <w:rFonts w:ascii="Verdana" w:hAnsi="Verdana" w:cs="Arial"/>
          <w:b/>
          <w:sz w:val="22"/>
          <w:szCs w:val="24"/>
        </w:rPr>
        <w:t xml:space="preserve"> </w:t>
      </w:r>
      <w:r w:rsidRPr="004F6C01">
        <w:rPr>
          <w:rFonts w:ascii="Verdana" w:hAnsi="Verdana" w:cs="Arial"/>
          <w:b/>
          <w:sz w:val="22"/>
          <w:szCs w:val="24"/>
        </w:rPr>
        <w:t>rating</w:t>
      </w:r>
      <w:r w:rsidR="003D1B6E" w:rsidRPr="004F6C01">
        <w:rPr>
          <w:rFonts w:ascii="Verdana" w:hAnsi="Verdana" w:cs="Arial"/>
          <w:b/>
          <w:sz w:val="22"/>
          <w:szCs w:val="24"/>
        </w:rPr>
        <w:t xml:space="preserve"> </w:t>
      </w:r>
      <w:r w:rsidRPr="004F6C01">
        <w:rPr>
          <w:rFonts w:ascii="Verdana" w:hAnsi="Verdana" w:cs="Arial"/>
          <w:b/>
          <w:sz w:val="22"/>
          <w:szCs w:val="24"/>
        </w:rPr>
        <w:t>of</w:t>
      </w:r>
      <w:r w:rsidR="003D1B6E" w:rsidRPr="004F6C01">
        <w:rPr>
          <w:rFonts w:ascii="Verdana" w:hAnsi="Verdana" w:cs="Arial"/>
          <w:b/>
          <w:sz w:val="22"/>
          <w:szCs w:val="24"/>
        </w:rPr>
        <w:t xml:space="preserve"> </w:t>
      </w:r>
      <w:r w:rsidR="006C7708" w:rsidRPr="004F6C01">
        <w:rPr>
          <w:rFonts w:ascii="Verdana" w:hAnsi="Verdana" w:cs="Arial"/>
          <w:b/>
          <w:sz w:val="22"/>
          <w:szCs w:val="24"/>
        </w:rPr>
        <w:t>Family</w:t>
      </w:r>
      <w:r w:rsidR="003D1B6E" w:rsidRPr="004F6C01">
        <w:rPr>
          <w:rFonts w:ascii="Verdana" w:hAnsi="Verdana" w:cs="Arial"/>
          <w:b/>
          <w:sz w:val="22"/>
          <w:szCs w:val="24"/>
        </w:rPr>
        <w:t xml:space="preserve"> </w:t>
      </w:r>
      <w:r w:rsidRPr="004F6C01">
        <w:rPr>
          <w:rFonts w:ascii="Verdana" w:hAnsi="Verdana" w:cs="Arial"/>
          <w:b/>
          <w:sz w:val="22"/>
          <w:szCs w:val="24"/>
        </w:rPr>
        <w:t>Households</w:t>
      </w:r>
      <w:r w:rsidR="004F6C01" w:rsidRPr="004F6C01">
        <w:rPr>
          <w:rFonts w:ascii="Verdana" w:hAnsi="Verdana" w:cs="Arial"/>
          <w:b/>
          <w:sz w:val="22"/>
          <w:szCs w:val="24"/>
        </w:rPr>
        <w:br/>
      </w:r>
      <w:r w:rsidR="00F64A4F">
        <w:rPr>
          <w:rFonts w:ascii="Verdana" w:hAnsi="Verdana" w:cs="Arial"/>
          <w:b/>
          <w:sz w:val="22"/>
          <w:szCs w:val="24"/>
        </w:rPr>
        <w:t>Blackfordby</w:t>
      </w:r>
      <w:r w:rsidR="00CF720A" w:rsidRPr="004F6C01">
        <w:rPr>
          <w:rFonts w:ascii="Verdana" w:hAnsi="Verdana" w:cs="Arial"/>
          <w:b/>
          <w:sz w:val="22"/>
          <w:szCs w:val="24"/>
        </w:rPr>
        <w:t xml:space="preserve"> </w:t>
      </w:r>
      <w:r w:rsidR="00F64A4F">
        <w:rPr>
          <w:rFonts w:ascii="Verdana" w:hAnsi="Verdana" w:cs="Arial"/>
          <w:b/>
          <w:sz w:val="22"/>
          <w:szCs w:val="24"/>
        </w:rPr>
        <w:t>Local area</w:t>
      </w:r>
      <w:r w:rsidRPr="004F6C01">
        <w:rPr>
          <w:rFonts w:ascii="Verdana" w:hAnsi="Verdana" w:cs="Arial"/>
          <w:b/>
          <w:sz w:val="22"/>
          <w:szCs w:val="24"/>
        </w:rPr>
        <w:t>,</w:t>
      </w:r>
      <w:r w:rsidR="003D1B6E" w:rsidRPr="004F6C01">
        <w:rPr>
          <w:rFonts w:ascii="Verdana" w:hAnsi="Verdana" w:cs="Arial"/>
          <w:b/>
          <w:sz w:val="22"/>
          <w:szCs w:val="24"/>
        </w:rPr>
        <w:t xml:space="preserve"> </w:t>
      </w:r>
      <w:r w:rsidRPr="004F6C01">
        <w:rPr>
          <w:rFonts w:ascii="Verdana" w:hAnsi="Verdana" w:cs="Arial"/>
          <w:b/>
          <w:sz w:val="22"/>
          <w:szCs w:val="24"/>
        </w:rPr>
        <w:t>2011</w:t>
      </w:r>
    </w:p>
    <w:p w14:paraId="76562B09" w14:textId="77777777" w:rsidR="001668D9" w:rsidRPr="001668D9" w:rsidRDefault="001318D6" w:rsidP="005D272B">
      <w:pPr>
        <w:spacing w:after="0"/>
        <w:jc w:val="center"/>
      </w:pPr>
      <w:r>
        <w:rPr>
          <w:noProof/>
          <w:lang w:eastAsia="en-GB"/>
        </w:rPr>
        <w:drawing>
          <wp:inline distT="0" distB="0" distL="0" distR="0" wp14:anchorId="49AA8403" wp14:editId="7D619C42">
            <wp:extent cx="5691435" cy="33528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00364" cy="3358060"/>
                    </a:xfrm>
                    <a:prstGeom prst="rect">
                      <a:avLst/>
                    </a:prstGeom>
                    <a:noFill/>
                  </pic:spPr>
                </pic:pic>
              </a:graphicData>
            </a:graphic>
          </wp:inline>
        </w:drawing>
      </w:r>
    </w:p>
    <w:p w14:paraId="62BDFDDD" w14:textId="77777777" w:rsidR="00691D48" w:rsidRDefault="006C7708" w:rsidP="00E40311">
      <w:pPr>
        <w:pStyle w:val="NoSpacing"/>
        <w:spacing w:before="120"/>
        <w:jc w:val="center"/>
        <w:rPr>
          <w:rFonts w:ascii="Verdana" w:hAnsi="Verdana" w:cs="Arial"/>
          <w:i/>
          <w:sz w:val="18"/>
          <w:szCs w:val="24"/>
        </w:rPr>
      </w:pPr>
      <w:r w:rsidRPr="005D272B">
        <w:rPr>
          <w:rFonts w:ascii="Verdana" w:hAnsi="Verdana" w:cs="Arial"/>
          <w:i/>
          <w:sz w:val="18"/>
          <w:szCs w:val="24"/>
        </w:rPr>
        <w:t>Source:</w:t>
      </w:r>
      <w:r w:rsidR="003D1B6E" w:rsidRPr="005D272B">
        <w:rPr>
          <w:rFonts w:ascii="Verdana" w:hAnsi="Verdana" w:cs="Arial"/>
          <w:i/>
          <w:sz w:val="18"/>
          <w:szCs w:val="24"/>
        </w:rPr>
        <w:t xml:space="preserve"> </w:t>
      </w:r>
      <w:r w:rsidRPr="005D272B">
        <w:rPr>
          <w:rFonts w:ascii="Verdana" w:hAnsi="Verdana" w:cs="Arial"/>
          <w:i/>
          <w:sz w:val="18"/>
          <w:szCs w:val="24"/>
        </w:rPr>
        <w:t>Census</w:t>
      </w:r>
      <w:r w:rsidR="003D1B6E" w:rsidRPr="005D272B">
        <w:rPr>
          <w:rFonts w:ascii="Verdana" w:hAnsi="Verdana" w:cs="Arial"/>
          <w:i/>
          <w:sz w:val="18"/>
          <w:szCs w:val="24"/>
        </w:rPr>
        <w:t xml:space="preserve"> </w:t>
      </w:r>
      <w:r w:rsidRPr="005D272B">
        <w:rPr>
          <w:rFonts w:ascii="Verdana" w:hAnsi="Verdana" w:cs="Arial"/>
          <w:i/>
          <w:sz w:val="18"/>
          <w:szCs w:val="24"/>
        </w:rPr>
        <w:t>2011,</w:t>
      </w:r>
      <w:r w:rsidR="003D1B6E" w:rsidRPr="005D272B">
        <w:rPr>
          <w:rFonts w:ascii="Verdana" w:hAnsi="Verdana" w:cs="Arial"/>
          <w:i/>
          <w:sz w:val="18"/>
          <w:szCs w:val="24"/>
        </w:rPr>
        <w:t xml:space="preserve"> </w:t>
      </w:r>
      <w:r w:rsidRPr="005D272B">
        <w:rPr>
          <w:rFonts w:ascii="Verdana" w:hAnsi="Verdana" w:cs="Arial"/>
          <w:i/>
          <w:sz w:val="18"/>
          <w:szCs w:val="24"/>
        </w:rPr>
        <w:t>LC4105EW</w:t>
      </w:r>
    </w:p>
    <w:p w14:paraId="6085A0E0" w14:textId="24B499B2" w:rsidR="00FF7A05" w:rsidRDefault="00FF7A05">
      <w:pPr>
        <w:rPr>
          <w:rFonts w:ascii="Verdana" w:hAnsi="Verdana" w:cs="Arial"/>
          <w:b/>
          <w:sz w:val="28"/>
          <w:szCs w:val="24"/>
        </w:rPr>
      </w:pPr>
    </w:p>
    <w:p w14:paraId="01799675" w14:textId="77777777" w:rsidR="00F14218" w:rsidRPr="00BC4DB4" w:rsidRDefault="00F14218" w:rsidP="008B5A87">
      <w:pPr>
        <w:spacing w:after="0" w:line="240" w:lineRule="auto"/>
        <w:jc w:val="both"/>
        <w:rPr>
          <w:rFonts w:ascii="Verdana" w:hAnsi="Verdana" w:cs="Arial"/>
          <w:b/>
          <w:sz w:val="28"/>
          <w:szCs w:val="24"/>
        </w:rPr>
      </w:pPr>
      <w:r w:rsidRPr="00BC4DB4">
        <w:rPr>
          <w:rFonts w:ascii="Verdana" w:hAnsi="Verdana" w:cs="Arial"/>
          <w:b/>
          <w:sz w:val="28"/>
          <w:szCs w:val="24"/>
        </w:rPr>
        <w:lastRenderedPageBreak/>
        <w:t>Housing Market</w:t>
      </w:r>
    </w:p>
    <w:p w14:paraId="308DBB41" w14:textId="77777777" w:rsidR="00B83681" w:rsidRDefault="00B83681" w:rsidP="008B5A87">
      <w:pPr>
        <w:spacing w:after="0" w:line="240" w:lineRule="auto"/>
        <w:jc w:val="both"/>
        <w:rPr>
          <w:rFonts w:ascii="Verdana" w:hAnsi="Verdana" w:cs="Arial"/>
          <w:sz w:val="24"/>
          <w:szCs w:val="24"/>
        </w:rPr>
      </w:pPr>
    </w:p>
    <w:p w14:paraId="485581A8" w14:textId="77777777" w:rsidR="0006016F" w:rsidRDefault="0006016F" w:rsidP="0006016F">
      <w:pPr>
        <w:pStyle w:val="NoSpacing"/>
        <w:spacing w:after="120"/>
        <w:rPr>
          <w:rFonts w:ascii="Verdana" w:hAnsi="Verdana"/>
          <w:b/>
          <w:sz w:val="24"/>
          <w:szCs w:val="24"/>
        </w:rPr>
      </w:pPr>
      <w:r>
        <w:rPr>
          <w:rFonts w:ascii="Verdana" w:hAnsi="Verdana"/>
          <w:b/>
          <w:sz w:val="24"/>
          <w:szCs w:val="24"/>
        </w:rPr>
        <w:t>Council Tax Bands</w:t>
      </w:r>
    </w:p>
    <w:p w14:paraId="135BF598" w14:textId="40A10701" w:rsidR="0006016F" w:rsidRDefault="0006016F" w:rsidP="0006016F">
      <w:pPr>
        <w:pStyle w:val="NoSpacing"/>
        <w:jc w:val="both"/>
        <w:rPr>
          <w:rFonts w:ascii="Verdana" w:hAnsi="Verdana" w:cs="Arial"/>
          <w:sz w:val="24"/>
          <w:szCs w:val="24"/>
        </w:rPr>
      </w:pPr>
      <w:r>
        <w:rPr>
          <w:rFonts w:ascii="Verdana" w:hAnsi="Verdana" w:cs="Arial"/>
          <w:sz w:val="24"/>
          <w:szCs w:val="24"/>
        </w:rPr>
        <w:t xml:space="preserve">The chart below provides a breakdown of the proportion of dwellings in the </w:t>
      </w:r>
      <w:r w:rsidR="00F64A4F">
        <w:rPr>
          <w:rFonts w:ascii="Verdana" w:hAnsi="Verdana" w:cs="Arial"/>
          <w:sz w:val="24"/>
          <w:szCs w:val="24"/>
        </w:rPr>
        <w:t>Blackfordby</w:t>
      </w:r>
      <w:r w:rsidR="00B4249E">
        <w:rPr>
          <w:rFonts w:ascii="Verdana" w:hAnsi="Verdana" w:cs="Arial"/>
          <w:sz w:val="24"/>
          <w:szCs w:val="24"/>
        </w:rPr>
        <w:t xml:space="preserve"> </w:t>
      </w:r>
      <w:r w:rsidR="00734B34">
        <w:rPr>
          <w:rFonts w:ascii="Verdana" w:hAnsi="Verdana" w:cs="Arial"/>
          <w:sz w:val="24"/>
          <w:szCs w:val="24"/>
        </w:rPr>
        <w:t>LSOA (</w:t>
      </w:r>
      <w:r w:rsidR="00734B34" w:rsidRPr="00734B34">
        <w:rPr>
          <w:rFonts w:ascii="Verdana" w:hAnsi="Verdana" w:cs="Arial"/>
          <w:sz w:val="24"/>
          <w:szCs w:val="24"/>
        </w:rPr>
        <w:t>E01025952</w:t>
      </w:r>
      <w:r w:rsidR="00734B34">
        <w:rPr>
          <w:rFonts w:ascii="Verdana" w:hAnsi="Verdana" w:cs="Arial"/>
          <w:sz w:val="24"/>
          <w:szCs w:val="24"/>
        </w:rPr>
        <w:t>)</w:t>
      </w:r>
      <w:r>
        <w:rPr>
          <w:rFonts w:ascii="Verdana" w:hAnsi="Verdana" w:cs="Arial"/>
          <w:sz w:val="24"/>
          <w:szCs w:val="24"/>
        </w:rPr>
        <w:t xml:space="preserve"> by council tax band compared to the district, region and national averages </w:t>
      </w:r>
      <w:proofErr w:type="gramStart"/>
      <w:r>
        <w:rPr>
          <w:rFonts w:ascii="Verdana" w:hAnsi="Verdana" w:cs="Arial"/>
          <w:sz w:val="24"/>
          <w:szCs w:val="24"/>
        </w:rPr>
        <w:t>at</w:t>
      </w:r>
      <w:proofErr w:type="gramEnd"/>
      <w:r>
        <w:rPr>
          <w:rFonts w:ascii="Verdana" w:hAnsi="Verdana" w:cs="Arial"/>
          <w:sz w:val="24"/>
          <w:szCs w:val="24"/>
        </w:rPr>
        <w:t xml:space="preserve"> 2017. Domestic properties with Council Tax </w:t>
      </w:r>
      <w:r w:rsidR="00586D5E">
        <w:rPr>
          <w:rFonts w:ascii="Verdana" w:hAnsi="Verdana" w:cs="Arial"/>
          <w:sz w:val="24"/>
          <w:szCs w:val="24"/>
        </w:rPr>
        <w:t>B</w:t>
      </w:r>
      <w:r>
        <w:rPr>
          <w:rFonts w:ascii="Verdana" w:hAnsi="Verdana" w:cs="Arial"/>
          <w:sz w:val="24"/>
          <w:szCs w:val="24"/>
        </w:rPr>
        <w:t xml:space="preserve">and </w:t>
      </w:r>
      <w:r w:rsidR="00B54F36">
        <w:rPr>
          <w:rFonts w:ascii="Verdana" w:hAnsi="Verdana" w:cs="Arial"/>
          <w:sz w:val="24"/>
          <w:szCs w:val="24"/>
        </w:rPr>
        <w:t>B</w:t>
      </w:r>
      <w:r>
        <w:rPr>
          <w:rFonts w:ascii="Verdana" w:hAnsi="Verdana" w:cs="Arial"/>
          <w:sz w:val="24"/>
          <w:szCs w:val="24"/>
        </w:rPr>
        <w:t xml:space="preserve"> make up the largest group (approximately </w:t>
      </w:r>
      <w:r w:rsidR="00B54F36">
        <w:rPr>
          <w:rFonts w:ascii="Verdana" w:hAnsi="Verdana" w:cs="Arial"/>
          <w:sz w:val="24"/>
          <w:szCs w:val="24"/>
        </w:rPr>
        <w:t>3</w:t>
      </w:r>
      <w:r w:rsidR="00586D5E">
        <w:rPr>
          <w:rFonts w:ascii="Verdana" w:hAnsi="Verdana" w:cs="Arial"/>
          <w:sz w:val="24"/>
          <w:szCs w:val="24"/>
        </w:rPr>
        <w:t>1</w:t>
      </w:r>
      <w:r>
        <w:rPr>
          <w:rFonts w:ascii="Verdana" w:hAnsi="Verdana" w:cs="Arial"/>
          <w:sz w:val="24"/>
          <w:szCs w:val="24"/>
        </w:rPr>
        <w:t xml:space="preserve">% of the total) in the </w:t>
      </w:r>
      <w:r w:rsidR="00B54F36">
        <w:rPr>
          <w:rFonts w:ascii="Verdana" w:hAnsi="Verdana" w:cs="Arial"/>
          <w:sz w:val="24"/>
          <w:szCs w:val="24"/>
        </w:rPr>
        <w:t>area.</w:t>
      </w:r>
      <w:r>
        <w:rPr>
          <w:rFonts w:ascii="Verdana" w:hAnsi="Verdana" w:cs="Arial"/>
          <w:sz w:val="24"/>
          <w:szCs w:val="24"/>
        </w:rPr>
        <w:t xml:space="preserve"> It has a </w:t>
      </w:r>
      <w:r w:rsidR="00586D5E">
        <w:rPr>
          <w:rFonts w:ascii="Verdana" w:hAnsi="Verdana" w:cs="Arial"/>
          <w:sz w:val="24"/>
          <w:szCs w:val="24"/>
        </w:rPr>
        <w:t>lower</w:t>
      </w:r>
      <w:r>
        <w:rPr>
          <w:rFonts w:ascii="Verdana" w:hAnsi="Verdana" w:cs="Arial"/>
          <w:sz w:val="24"/>
          <w:szCs w:val="24"/>
        </w:rPr>
        <w:t xml:space="preserve"> proportion of properties with high value council tax bands with </w:t>
      </w:r>
      <w:r w:rsidR="00B54F36">
        <w:rPr>
          <w:rFonts w:ascii="Verdana" w:hAnsi="Verdana" w:cs="Arial"/>
          <w:sz w:val="24"/>
          <w:szCs w:val="24"/>
        </w:rPr>
        <w:t>1</w:t>
      </w:r>
      <w:r w:rsidR="00586D5E">
        <w:rPr>
          <w:rFonts w:ascii="Verdana" w:hAnsi="Verdana" w:cs="Arial"/>
          <w:sz w:val="24"/>
          <w:szCs w:val="24"/>
        </w:rPr>
        <w:t>0</w:t>
      </w:r>
      <w:r>
        <w:rPr>
          <w:rFonts w:ascii="Verdana" w:hAnsi="Verdana" w:cs="Arial"/>
          <w:sz w:val="24"/>
          <w:szCs w:val="24"/>
        </w:rPr>
        <w:t xml:space="preserve">% of dwellings having a Council Tax Band </w:t>
      </w:r>
      <w:r w:rsidR="00586D5E">
        <w:rPr>
          <w:rFonts w:ascii="Verdana" w:hAnsi="Verdana" w:cs="Arial"/>
          <w:sz w:val="24"/>
          <w:szCs w:val="24"/>
        </w:rPr>
        <w:t>E</w:t>
      </w:r>
      <w:r>
        <w:rPr>
          <w:rFonts w:ascii="Verdana" w:hAnsi="Verdana" w:cs="Arial"/>
          <w:sz w:val="24"/>
          <w:szCs w:val="24"/>
        </w:rPr>
        <w:t xml:space="preserve"> or above against </w:t>
      </w:r>
      <w:r w:rsidR="00586D5E">
        <w:rPr>
          <w:rFonts w:ascii="Verdana" w:hAnsi="Verdana" w:cs="Arial"/>
          <w:sz w:val="24"/>
          <w:szCs w:val="24"/>
        </w:rPr>
        <w:t>15</w:t>
      </w:r>
      <w:r>
        <w:rPr>
          <w:rFonts w:ascii="Verdana" w:hAnsi="Verdana" w:cs="Arial"/>
          <w:sz w:val="24"/>
          <w:szCs w:val="24"/>
        </w:rPr>
        <w:t xml:space="preserve">% for the </w:t>
      </w:r>
      <w:r w:rsidR="00B54F36">
        <w:rPr>
          <w:rFonts w:ascii="Verdana" w:hAnsi="Verdana" w:cs="Arial"/>
          <w:sz w:val="24"/>
          <w:szCs w:val="24"/>
        </w:rPr>
        <w:t>borough</w:t>
      </w:r>
      <w:r>
        <w:rPr>
          <w:rFonts w:ascii="Verdana" w:hAnsi="Verdana" w:cs="Arial"/>
          <w:sz w:val="24"/>
          <w:szCs w:val="24"/>
        </w:rPr>
        <w:t xml:space="preserve">, </w:t>
      </w:r>
      <w:r w:rsidR="00586D5E">
        <w:rPr>
          <w:rFonts w:ascii="Verdana" w:hAnsi="Verdana" w:cs="Arial"/>
          <w:sz w:val="24"/>
          <w:szCs w:val="24"/>
        </w:rPr>
        <w:t>11</w:t>
      </w:r>
      <w:r>
        <w:rPr>
          <w:rFonts w:ascii="Verdana" w:hAnsi="Verdana" w:cs="Arial"/>
          <w:sz w:val="24"/>
          <w:szCs w:val="24"/>
        </w:rPr>
        <w:t xml:space="preserve">% for the region and </w:t>
      </w:r>
      <w:r w:rsidR="00586D5E">
        <w:rPr>
          <w:rFonts w:ascii="Verdana" w:hAnsi="Verdana" w:cs="Arial"/>
          <w:sz w:val="24"/>
          <w:szCs w:val="24"/>
        </w:rPr>
        <w:t>1</w:t>
      </w:r>
      <w:r>
        <w:rPr>
          <w:rFonts w:ascii="Verdana" w:hAnsi="Verdana" w:cs="Arial"/>
          <w:sz w:val="24"/>
          <w:szCs w:val="24"/>
        </w:rPr>
        <w:t xml:space="preserve">9% for England as a whole. </w:t>
      </w:r>
    </w:p>
    <w:p w14:paraId="49E9850F" w14:textId="77777777" w:rsidR="0006016F" w:rsidRDefault="0006016F" w:rsidP="0006016F">
      <w:pPr>
        <w:pStyle w:val="NoSpacing"/>
        <w:jc w:val="both"/>
        <w:rPr>
          <w:rFonts w:ascii="Verdana" w:hAnsi="Verdana" w:cs="Arial"/>
          <w:sz w:val="24"/>
          <w:szCs w:val="24"/>
        </w:rPr>
      </w:pPr>
    </w:p>
    <w:p w14:paraId="1EA27D2C" w14:textId="77777777" w:rsidR="0006016F" w:rsidRDefault="0006016F" w:rsidP="0006016F">
      <w:pPr>
        <w:pStyle w:val="Caption"/>
        <w:keepNext/>
        <w:spacing w:after="0"/>
        <w:jc w:val="center"/>
        <w:rPr>
          <w:rFonts w:ascii="Verdana" w:hAnsi="Verdana"/>
          <w:b/>
          <w:sz w:val="22"/>
          <w:szCs w:val="24"/>
        </w:rPr>
      </w:pPr>
      <w:r>
        <w:rPr>
          <w:rFonts w:ascii="Verdana" w:hAnsi="Verdana"/>
          <w:b/>
          <w:sz w:val="22"/>
          <w:szCs w:val="24"/>
        </w:rPr>
        <w:t xml:space="preserve">Figure </w:t>
      </w:r>
      <w:r>
        <w:rPr>
          <w:rFonts w:ascii="Verdana" w:hAnsi="Verdana"/>
          <w:b/>
          <w:sz w:val="22"/>
          <w:szCs w:val="24"/>
        </w:rPr>
        <w:fldChar w:fldCharType="begin"/>
      </w:r>
      <w:r>
        <w:rPr>
          <w:rFonts w:ascii="Verdana" w:hAnsi="Verdana"/>
          <w:b/>
          <w:sz w:val="22"/>
          <w:szCs w:val="24"/>
        </w:rPr>
        <w:instrText xml:space="preserve"> SEQ Figure \* ARABIC </w:instrText>
      </w:r>
      <w:r>
        <w:rPr>
          <w:rFonts w:ascii="Verdana" w:hAnsi="Verdana"/>
          <w:b/>
          <w:sz w:val="22"/>
          <w:szCs w:val="24"/>
        </w:rPr>
        <w:fldChar w:fldCharType="separate"/>
      </w:r>
      <w:r w:rsidR="00CA4EB9">
        <w:rPr>
          <w:rFonts w:ascii="Verdana" w:hAnsi="Verdana"/>
          <w:b/>
          <w:noProof/>
          <w:sz w:val="22"/>
          <w:szCs w:val="24"/>
        </w:rPr>
        <w:t>6</w:t>
      </w:r>
      <w:r>
        <w:rPr>
          <w:rFonts w:ascii="Verdana" w:hAnsi="Verdana"/>
          <w:b/>
          <w:sz w:val="22"/>
          <w:szCs w:val="24"/>
        </w:rPr>
        <w:fldChar w:fldCharType="end"/>
      </w:r>
      <w:r>
        <w:rPr>
          <w:rFonts w:ascii="Verdana" w:hAnsi="Verdana"/>
          <w:b/>
          <w:sz w:val="22"/>
          <w:szCs w:val="24"/>
        </w:rPr>
        <w:t>: Dwelling Stock by Council Tax Band</w:t>
      </w:r>
      <w:r>
        <w:rPr>
          <w:rFonts w:ascii="Verdana" w:hAnsi="Verdana"/>
          <w:b/>
          <w:sz w:val="22"/>
          <w:szCs w:val="24"/>
        </w:rPr>
        <w:br/>
      </w:r>
      <w:r w:rsidR="00F64A4F">
        <w:rPr>
          <w:rFonts w:ascii="Verdana" w:hAnsi="Verdana"/>
          <w:b/>
          <w:sz w:val="22"/>
          <w:szCs w:val="24"/>
        </w:rPr>
        <w:t>Blackfordby</w:t>
      </w:r>
      <w:r w:rsidR="00360321">
        <w:rPr>
          <w:rFonts w:ascii="Verdana" w:hAnsi="Verdana"/>
          <w:b/>
          <w:sz w:val="22"/>
          <w:szCs w:val="24"/>
        </w:rPr>
        <w:t xml:space="preserve"> </w:t>
      </w:r>
      <w:r w:rsidR="00107BA4">
        <w:rPr>
          <w:rFonts w:ascii="Verdana" w:hAnsi="Verdana"/>
          <w:b/>
          <w:sz w:val="22"/>
          <w:szCs w:val="24"/>
        </w:rPr>
        <w:t>LSOA</w:t>
      </w:r>
      <w:r>
        <w:rPr>
          <w:rFonts w:ascii="Verdana" w:hAnsi="Verdana"/>
          <w:b/>
          <w:sz w:val="22"/>
          <w:szCs w:val="24"/>
        </w:rPr>
        <w:t xml:space="preserve"> 2017</w:t>
      </w:r>
    </w:p>
    <w:p w14:paraId="5AA8C9F7" w14:textId="77777777" w:rsidR="0006016F" w:rsidRDefault="0006016F" w:rsidP="0006016F">
      <w:pPr>
        <w:keepNext/>
        <w:spacing w:before="120" w:after="120"/>
        <w:jc w:val="center"/>
        <w:rPr>
          <w:rFonts w:ascii="Verdana" w:hAnsi="Verdana"/>
          <w:sz w:val="24"/>
          <w:szCs w:val="24"/>
        </w:rPr>
      </w:pPr>
      <w:r>
        <w:rPr>
          <w:rFonts w:ascii="Verdana" w:hAnsi="Verdana"/>
          <w:noProof/>
          <w:sz w:val="24"/>
          <w:szCs w:val="24"/>
        </w:rPr>
        <w:drawing>
          <wp:inline distT="0" distB="0" distL="0" distR="0" wp14:anchorId="1FE1CDC8" wp14:editId="34A0279B">
            <wp:extent cx="4183379" cy="2520041"/>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183379" cy="2520041"/>
                    </a:xfrm>
                    <a:prstGeom prst="rect">
                      <a:avLst/>
                    </a:prstGeom>
                    <a:noFill/>
                    <a:ln>
                      <a:noFill/>
                    </a:ln>
                  </pic:spPr>
                </pic:pic>
              </a:graphicData>
            </a:graphic>
          </wp:inline>
        </w:drawing>
      </w:r>
    </w:p>
    <w:p w14:paraId="1858DF6D" w14:textId="77777777" w:rsidR="0006016F" w:rsidRDefault="0006016F" w:rsidP="0006016F">
      <w:pPr>
        <w:pStyle w:val="NoSpacing"/>
        <w:jc w:val="center"/>
        <w:rPr>
          <w:rFonts w:ascii="Verdana" w:hAnsi="Verdana"/>
          <w:i/>
          <w:sz w:val="20"/>
          <w:szCs w:val="24"/>
        </w:rPr>
      </w:pPr>
      <w:r>
        <w:rPr>
          <w:rFonts w:ascii="Verdana" w:hAnsi="Verdana"/>
          <w:i/>
          <w:sz w:val="20"/>
          <w:szCs w:val="24"/>
        </w:rPr>
        <w:t>Council Tax: Table CTSOP 4.1, Stock of Properties, England and Wales, 2017 VOA</w:t>
      </w:r>
    </w:p>
    <w:p w14:paraId="24801225" w14:textId="77777777" w:rsidR="0006016F" w:rsidRDefault="0006016F" w:rsidP="0006016F">
      <w:pPr>
        <w:pStyle w:val="NoSpacing"/>
        <w:jc w:val="both"/>
        <w:rPr>
          <w:rFonts w:ascii="Verdana" w:hAnsi="Verdana" w:cs="Arial"/>
          <w:b/>
          <w:sz w:val="24"/>
          <w:szCs w:val="24"/>
        </w:rPr>
      </w:pPr>
    </w:p>
    <w:p w14:paraId="6044DC19" w14:textId="77777777" w:rsidR="0006016F" w:rsidRDefault="0006016F" w:rsidP="0006016F">
      <w:pPr>
        <w:pStyle w:val="NoSpacing"/>
        <w:jc w:val="both"/>
        <w:rPr>
          <w:rFonts w:ascii="Verdana" w:hAnsi="Verdana" w:cs="Arial"/>
          <w:sz w:val="24"/>
          <w:szCs w:val="24"/>
        </w:rPr>
      </w:pPr>
      <w:r>
        <w:rPr>
          <w:rFonts w:ascii="Verdana" w:hAnsi="Verdana" w:cs="Arial"/>
          <w:sz w:val="24"/>
          <w:szCs w:val="24"/>
        </w:rPr>
        <w:t xml:space="preserve">An analysis of annual </w:t>
      </w:r>
      <w:r w:rsidR="00586D5E">
        <w:rPr>
          <w:rFonts w:ascii="Verdana" w:hAnsi="Verdana" w:cs="Arial"/>
          <w:sz w:val="24"/>
          <w:szCs w:val="24"/>
        </w:rPr>
        <w:t>data</w:t>
      </w:r>
      <w:r>
        <w:rPr>
          <w:rFonts w:ascii="Verdana" w:hAnsi="Verdana" w:cs="Arial"/>
          <w:sz w:val="24"/>
          <w:szCs w:val="24"/>
        </w:rPr>
        <w:t xml:space="preserve"> from the Valuation Office Agency (VOA) which provides a series of tables on the number of properties by Council Tax band for each property type and indicates</w:t>
      </w:r>
      <w:r w:rsidR="006A066C">
        <w:rPr>
          <w:rFonts w:ascii="Verdana" w:hAnsi="Verdana" w:cs="Arial"/>
          <w:sz w:val="24"/>
          <w:szCs w:val="24"/>
        </w:rPr>
        <w:t xml:space="preserve"> that d</w:t>
      </w:r>
      <w:r w:rsidR="006A066C" w:rsidRPr="006A066C">
        <w:rPr>
          <w:rFonts w:ascii="Verdana" w:hAnsi="Verdana" w:cs="Arial"/>
          <w:sz w:val="24"/>
          <w:szCs w:val="24"/>
        </w:rPr>
        <w:t xml:space="preserve">omestic properties built </w:t>
      </w:r>
      <w:r w:rsidR="00586D5E">
        <w:rPr>
          <w:rFonts w:ascii="Verdana" w:hAnsi="Verdana" w:cs="Arial"/>
          <w:sz w:val="24"/>
          <w:szCs w:val="24"/>
        </w:rPr>
        <w:t>between 1965 and 1972</w:t>
      </w:r>
      <w:r w:rsidR="006A066C" w:rsidRPr="006A066C">
        <w:rPr>
          <w:rFonts w:ascii="Verdana" w:hAnsi="Verdana" w:cs="Arial"/>
          <w:sz w:val="24"/>
          <w:szCs w:val="24"/>
        </w:rPr>
        <w:t xml:space="preserve"> were the largest group in </w:t>
      </w:r>
      <w:r w:rsidR="00586D5E">
        <w:rPr>
          <w:rFonts w:ascii="Verdana" w:hAnsi="Verdana" w:cs="Arial"/>
          <w:sz w:val="24"/>
          <w:szCs w:val="24"/>
        </w:rPr>
        <w:t xml:space="preserve">the </w:t>
      </w:r>
      <w:r w:rsidR="00F64A4F">
        <w:rPr>
          <w:rFonts w:ascii="Verdana" w:hAnsi="Verdana" w:cs="Arial"/>
          <w:sz w:val="24"/>
          <w:szCs w:val="24"/>
        </w:rPr>
        <w:t>Blackfordby</w:t>
      </w:r>
      <w:r w:rsidR="00586D5E">
        <w:rPr>
          <w:rFonts w:ascii="Verdana" w:hAnsi="Verdana" w:cs="Arial"/>
          <w:sz w:val="24"/>
          <w:szCs w:val="24"/>
        </w:rPr>
        <w:t xml:space="preserve"> local area</w:t>
      </w:r>
      <w:r w:rsidR="006A066C">
        <w:rPr>
          <w:rFonts w:ascii="Verdana" w:hAnsi="Verdana" w:cs="Arial"/>
          <w:sz w:val="24"/>
          <w:szCs w:val="24"/>
        </w:rPr>
        <w:t>,</w:t>
      </w:r>
      <w:r w:rsidR="006A066C" w:rsidRPr="006A066C">
        <w:rPr>
          <w:rFonts w:ascii="Verdana" w:hAnsi="Verdana" w:cs="Arial"/>
          <w:sz w:val="24"/>
          <w:szCs w:val="24"/>
        </w:rPr>
        <w:t xml:space="preserve"> with 2</w:t>
      </w:r>
      <w:r w:rsidR="006A066C">
        <w:rPr>
          <w:rFonts w:ascii="Verdana" w:hAnsi="Verdana" w:cs="Arial"/>
          <w:sz w:val="24"/>
          <w:szCs w:val="24"/>
        </w:rPr>
        <w:t>4</w:t>
      </w:r>
      <w:r w:rsidR="006A066C" w:rsidRPr="006A066C">
        <w:rPr>
          <w:rFonts w:ascii="Verdana" w:hAnsi="Verdana" w:cs="Arial"/>
          <w:sz w:val="24"/>
          <w:szCs w:val="24"/>
        </w:rPr>
        <w:t xml:space="preserve">% </w:t>
      </w:r>
      <w:r>
        <w:rPr>
          <w:rFonts w:ascii="Verdana" w:hAnsi="Verdana" w:cs="Arial"/>
          <w:sz w:val="24"/>
          <w:szCs w:val="24"/>
        </w:rPr>
        <w:t>(</w:t>
      </w:r>
      <w:r w:rsidR="006A066C">
        <w:rPr>
          <w:rFonts w:ascii="Verdana" w:hAnsi="Verdana" w:cs="Arial"/>
          <w:sz w:val="24"/>
          <w:szCs w:val="24"/>
        </w:rPr>
        <w:t>160 homes)</w:t>
      </w:r>
      <w:r>
        <w:rPr>
          <w:rFonts w:ascii="Verdana" w:hAnsi="Verdana" w:cs="Arial"/>
          <w:sz w:val="24"/>
          <w:szCs w:val="24"/>
        </w:rPr>
        <w:t xml:space="preserve"> (1</w:t>
      </w:r>
      <w:r w:rsidR="00586D5E">
        <w:rPr>
          <w:rFonts w:ascii="Verdana" w:hAnsi="Verdana" w:cs="Arial"/>
          <w:sz w:val="24"/>
          <w:szCs w:val="24"/>
        </w:rPr>
        <w:t>0</w:t>
      </w:r>
      <w:r>
        <w:rPr>
          <w:rFonts w:ascii="Verdana" w:hAnsi="Verdana" w:cs="Arial"/>
          <w:sz w:val="24"/>
          <w:szCs w:val="24"/>
        </w:rPr>
        <w:t>% Eng</w:t>
      </w:r>
      <w:r w:rsidR="00675D2E">
        <w:rPr>
          <w:rFonts w:ascii="Verdana" w:hAnsi="Verdana" w:cs="Arial"/>
          <w:sz w:val="24"/>
          <w:szCs w:val="24"/>
        </w:rPr>
        <w:t>land</w:t>
      </w:r>
      <w:r>
        <w:rPr>
          <w:rFonts w:ascii="Verdana" w:hAnsi="Verdana" w:cs="Arial"/>
          <w:sz w:val="24"/>
          <w:szCs w:val="24"/>
        </w:rPr>
        <w:t>). Domestic properties built between 19</w:t>
      </w:r>
      <w:r w:rsidR="006A066C">
        <w:rPr>
          <w:rFonts w:ascii="Verdana" w:hAnsi="Verdana" w:cs="Arial"/>
          <w:sz w:val="24"/>
          <w:szCs w:val="24"/>
        </w:rPr>
        <w:t>7</w:t>
      </w:r>
      <w:r>
        <w:rPr>
          <w:rFonts w:ascii="Verdana" w:hAnsi="Verdana" w:cs="Arial"/>
          <w:sz w:val="24"/>
          <w:szCs w:val="24"/>
        </w:rPr>
        <w:t>3 and 19</w:t>
      </w:r>
      <w:r w:rsidR="006A066C">
        <w:rPr>
          <w:rFonts w:ascii="Verdana" w:hAnsi="Verdana" w:cs="Arial"/>
          <w:sz w:val="24"/>
          <w:szCs w:val="24"/>
        </w:rPr>
        <w:t>8</w:t>
      </w:r>
      <w:r>
        <w:rPr>
          <w:rFonts w:ascii="Verdana" w:hAnsi="Verdana" w:cs="Arial"/>
          <w:sz w:val="24"/>
          <w:szCs w:val="24"/>
        </w:rPr>
        <w:t>2 were the</w:t>
      </w:r>
      <w:r w:rsidR="006A066C">
        <w:rPr>
          <w:rFonts w:ascii="Verdana" w:hAnsi="Verdana" w:cs="Arial"/>
          <w:sz w:val="24"/>
          <w:szCs w:val="24"/>
        </w:rPr>
        <w:t xml:space="preserve"> 2</w:t>
      </w:r>
      <w:r w:rsidR="006A066C" w:rsidRPr="006A066C">
        <w:rPr>
          <w:rFonts w:ascii="Verdana" w:hAnsi="Verdana" w:cs="Arial"/>
          <w:sz w:val="24"/>
          <w:szCs w:val="24"/>
          <w:vertAlign w:val="superscript"/>
        </w:rPr>
        <w:t>nd</w:t>
      </w:r>
      <w:r w:rsidR="006A066C">
        <w:rPr>
          <w:rFonts w:ascii="Verdana" w:hAnsi="Verdana" w:cs="Arial"/>
          <w:sz w:val="24"/>
          <w:szCs w:val="24"/>
        </w:rPr>
        <w:t xml:space="preserve"> </w:t>
      </w:r>
      <w:r>
        <w:rPr>
          <w:rFonts w:ascii="Verdana" w:hAnsi="Verdana" w:cs="Arial"/>
          <w:sz w:val="24"/>
          <w:szCs w:val="24"/>
        </w:rPr>
        <w:t>largest with 1</w:t>
      </w:r>
      <w:r w:rsidR="00586D5E">
        <w:rPr>
          <w:rFonts w:ascii="Verdana" w:hAnsi="Verdana" w:cs="Arial"/>
          <w:sz w:val="24"/>
          <w:szCs w:val="24"/>
        </w:rPr>
        <w:t>3</w:t>
      </w:r>
      <w:r>
        <w:rPr>
          <w:rFonts w:ascii="Verdana" w:hAnsi="Verdana" w:cs="Arial"/>
          <w:sz w:val="24"/>
          <w:szCs w:val="24"/>
        </w:rPr>
        <w:t>% of homes built during this period (</w:t>
      </w:r>
      <w:r w:rsidR="006A066C">
        <w:rPr>
          <w:rFonts w:ascii="Verdana" w:hAnsi="Verdana" w:cs="Arial"/>
          <w:sz w:val="24"/>
          <w:szCs w:val="24"/>
        </w:rPr>
        <w:t>9</w:t>
      </w:r>
      <w:r>
        <w:rPr>
          <w:rFonts w:ascii="Verdana" w:hAnsi="Verdana" w:cs="Arial"/>
          <w:sz w:val="24"/>
          <w:szCs w:val="24"/>
        </w:rPr>
        <w:t>% Eng</w:t>
      </w:r>
      <w:r w:rsidR="00675D2E">
        <w:rPr>
          <w:rFonts w:ascii="Verdana" w:hAnsi="Verdana" w:cs="Arial"/>
          <w:sz w:val="24"/>
          <w:szCs w:val="24"/>
        </w:rPr>
        <w:t>land</w:t>
      </w:r>
      <w:r>
        <w:rPr>
          <w:rFonts w:ascii="Verdana" w:hAnsi="Verdana" w:cs="Arial"/>
          <w:sz w:val="24"/>
          <w:szCs w:val="24"/>
        </w:rPr>
        <w:t xml:space="preserve">). </w:t>
      </w:r>
    </w:p>
    <w:p w14:paraId="4CBC8FEF" w14:textId="77777777" w:rsidR="0006016F" w:rsidRDefault="0006016F" w:rsidP="0006016F">
      <w:pPr>
        <w:pStyle w:val="NoSpacing"/>
        <w:jc w:val="both"/>
        <w:rPr>
          <w:rFonts w:ascii="Verdana" w:hAnsi="Verdana" w:cs="Arial"/>
          <w:sz w:val="24"/>
          <w:szCs w:val="24"/>
        </w:rPr>
      </w:pPr>
    </w:p>
    <w:p w14:paraId="78EAB064" w14:textId="77777777" w:rsidR="0006016F" w:rsidRDefault="0006016F" w:rsidP="0006016F">
      <w:pPr>
        <w:pStyle w:val="NoSpacing"/>
        <w:jc w:val="both"/>
        <w:rPr>
          <w:rFonts w:ascii="Verdana" w:hAnsi="Verdana" w:cs="Arial"/>
          <w:sz w:val="24"/>
          <w:szCs w:val="24"/>
        </w:rPr>
      </w:pPr>
      <w:r>
        <w:rPr>
          <w:rFonts w:ascii="Verdana" w:hAnsi="Verdana" w:cs="Arial"/>
          <w:sz w:val="24"/>
          <w:szCs w:val="24"/>
        </w:rPr>
        <w:fldChar w:fldCharType="begin"/>
      </w:r>
      <w:r>
        <w:rPr>
          <w:rFonts w:ascii="Verdana" w:hAnsi="Verdana" w:cs="Arial"/>
          <w:sz w:val="24"/>
          <w:szCs w:val="24"/>
        </w:rPr>
        <w:instrText xml:space="preserve"> REF _Ref448739085 \h  \* MERGEFORMAT </w:instrText>
      </w:r>
      <w:r>
        <w:rPr>
          <w:rFonts w:ascii="Verdana" w:hAnsi="Verdana" w:cs="Arial"/>
          <w:sz w:val="24"/>
          <w:szCs w:val="24"/>
        </w:rPr>
      </w:r>
      <w:r>
        <w:rPr>
          <w:rFonts w:ascii="Verdana" w:hAnsi="Verdana" w:cs="Arial"/>
          <w:sz w:val="24"/>
          <w:szCs w:val="24"/>
        </w:rPr>
        <w:fldChar w:fldCharType="separate"/>
      </w:r>
      <w:r w:rsidR="00CA4EB9" w:rsidRPr="00CA4EB9">
        <w:rPr>
          <w:rFonts w:ascii="Verdana" w:hAnsi="Verdana"/>
          <w:szCs w:val="24"/>
        </w:rPr>
        <w:t>Figure 7</w:t>
      </w:r>
      <w:r>
        <w:rPr>
          <w:rFonts w:ascii="Verdana" w:hAnsi="Verdana" w:cs="Arial"/>
          <w:sz w:val="24"/>
          <w:szCs w:val="24"/>
        </w:rPr>
        <w:fldChar w:fldCharType="end"/>
      </w:r>
      <w:r>
        <w:rPr>
          <w:rFonts w:ascii="Verdana" w:hAnsi="Verdana" w:cs="Arial"/>
          <w:sz w:val="24"/>
          <w:szCs w:val="24"/>
        </w:rPr>
        <w:t xml:space="preserve"> provides a breakdown of properties by built period and shows evidence of </w:t>
      </w:r>
      <w:r w:rsidR="00586D5E">
        <w:rPr>
          <w:rFonts w:ascii="Verdana" w:hAnsi="Verdana" w:cs="Arial"/>
          <w:sz w:val="24"/>
          <w:szCs w:val="24"/>
        </w:rPr>
        <w:t xml:space="preserve">a small number of </w:t>
      </w:r>
      <w:r>
        <w:rPr>
          <w:rFonts w:ascii="Verdana" w:hAnsi="Verdana" w:cs="Arial"/>
          <w:sz w:val="24"/>
          <w:szCs w:val="24"/>
        </w:rPr>
        <w:t>new homes being built between 2010 and 2017. This is also reflected in the residential sales section below which draws on Land Registry price paid</w:t>
      </w:r>
      <w:r w:rsidR="00A456E9">
        <w:rPr>
          <w:rFonts w:ascii="Verdana" w:hAnsi="Verdana" w:cs="Arial"/>
          <w:sz w:val="24"/>
          <w:szCs w:val="24"/>
        </w:rPr>
        <w:t xml:space="preserve"> data</w:t>
      </w:r>
      <w:r w:rsidR="0054616C">
        <w:rPr>
          <w:rFonts w:ascii="Verdana" w:hAnsi="Verdana" w:cs="Arial"/>
          <w:sz w:val="24"/>
          <w:szCs w:val="24"/>
        </w:rPr>
        <w:t>.</w:t>
      </w:r>
      <w:r>
        <w:rPr>
          <w:rFonts w:ascii="Verdana" w:hAnsi="Verdana" w:cs="Arial"/>
          <w:sz w:val="24"/>
          <w:szCs w:val="24"/>
        </w:rPr>
        <w:t xml:space="preserve"> There are no records of dwellings having been built between 1939 and 1945 due to the Second World War. In some cases, the period when the property was built has not been recorded on the VOA system.  </w:t>
      </w:r>
    </w:p>
    <w:p w14:paraId="5E7DF419" w14:textId="77777777" w:rsidR="0006016F" w:rsidRDefault="0006016F" w:rsidP="0006016F">
      <w:pPr>
        <w:pStyle w:val="NoSpacing"/>
        <w:jc w:val="both"/>
        <w:rPr>
          <w:rFonts w:ascii="Verdana" w:hAnsi="Verdana" w:cs="Arial"/>
          <w:sz w:val="24"/>
          <w:szCs w:val="24"/>
        </w:rPr>
      </w:pPr>
    </w:p>
    <w:p w14:paraId="210A4205" w14:textId="77777777" w:rsidR="0006016F" w:rsidRDefault="0006016F" w:rsidP="0006016F">
      <w:pPr>
        <w:pStyle w:val="Caption"/>
        <w:keepNext/>
        <w:spacing w:after="0"/>
        <w:jc w:val="center"/>
        <w:rPr>
          <w:rFonts w:ascii="Verdana" w:hAnsi="Verdana"/>
          <w:b/>
          <w:sz w:val="22"/>
          <w:szCs w:val="24"/>
        </w:rPr>
      </w:pPr>
      <w:bookmarkStart w:id="4" w:name="_Ref448739085"/>
      <w:r>
        <w:rPr>
          <w:rFonts w:ascii="Verdana" w:hAnsi="Verdana"/>
          <w:b/>
          <w:sz w:val="22"/>
          <w:szCs w:val="24"/>
        </w:rPr>
        <w:lastRenderedPageBreak/>
        <w:t xml:space="preserve">Figure </w:t>
      </w:r>
      <w:r>
        <w:fldChar w:fldCharType="begin"/>
      </w:r>
      <w:r>
        <w:rPr>
          <w:rFonts w:ascii="Verdana" w:hAnsi="Verdana"/>
          <w:b/>
          <w:sz w:val="22"/>
          <w:szCs w:val="24"/>
        </w:rPr>
        <w:instrText xml:space="preserve"> SEQ Figure \* ARABIC </w:instrText>
      </w:r>
      <w:r>
        <w:fldChar w:fldCharType="separate"/>
      </w:r>
      <w:r w:rsidR="00CA4EB9">
        <w:rPr>
          <w:rFonts w:ascii="Verdana" w:hAnsi="Verdana"/>
          <w:b/>
          <w:noProof/>
          <w:sz w:val="22"/>
          <w:szCs w:val="24"/>
        </w:rPr>
        <w:t>7</w:t>
      </w:r>
      <w:r>
        <w:fldChar w:fldCharType="end"/>
      </w:r>
      <w:bookmarkEnd w:id="4"/>
      <w:r>
        <w:rPr>
          <w:rFonts w:ascii="Verdana" w:hAnsi="Verdana"/>
          <w:b/>
          <w:sz w:val="22"/>
          <w:szCs w:val="24"/>
        </w:rPr>
        <w:t xml:space="preserve"> Build Period of Property in the </w:t>
      </w:r>
      <w:r w:rsidR="00F64A4F">
        <w:rPr>
          <w:rFonts w:ascii="Verdana" w:hAnsi="Verdana" w:cs="Arial"/>
          <w:b/>
          <w:sz w:val="22"/>
          <w:szCs w:val="24"/>
        </w:rPr>
        <w:t>Blackfordby</w:t>
      </w:r>
      <w:r w:rsidR="006A066C">
        <w:rPr>
          <w:rFonts w:ascii="Verdana" w:hAnsi="Verdana" w:cs="Arial"/>
          <w:b/>
          <w:sz w:val="22"/>
          <w:szCs w:val="24"/>
        </w:rPr>
        <w:t xml:space="preserve"> </w:t>
      </w:r>
      <w:r w:rsidR="00586D5E">
        <w:rPr>
          <w:rFonts w:ascii="Verdana" w:hAnsi="Verdana" w:cs="Arial"/>
          <w:b/>
          <w:sz w:val="22"/>
          <w:szCs w:val="24"/>
        </w:rPr>
        <w:t>LSOA</w:t>
      </w:r>
    </w:p>
    <w:p w14:paraId="2193729D" w14:textId="77777777" w:rsidR="0006016F" w:rsidRDefault="0006016F" w:rsidP="0006016F">
      <w:pPr>
        <w:spacing w:before="80" w:after="80" w:line="240" w:lineRule="auto"/>
        <w:jc w:val="center"/>
      </w:pPr>
      <w:r>
        <w:rPr>
          <w:noProof/>
        </w:rPr>
        <w:drawing>
          <wp:inline distT="0" distB="0" distL="0" distR="0" wp14:anchorId="7F1C36C1" wp14:editId="786D74F5">
            <wp:extent cx="4190998" cy="251905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190998" cy="2519058"/>
                    </a:xfrm>
                    <a:prstGeom prst="rect">
                      <a:avLst/>
                    </a:prstGeom>
                    <a:noFill/>
                    <a:ln>
                      <a:noFill/>
                    </a:ln>
                  </pic:spPr>
                </pic:pic>
              </a:graphicData>
            </a:graphic>
          </wp:inline>
        </w:drawing>
      </w:r>
    </w:p>
    <w:p w14:paraId="30A0BEBD" w14:textId="77777777" w:rsidR="0006016F" w:rsidRDefault="0006016F" w:rsidP="0006016F">
      <w:pPr>
        <w:pStyle w:val="NoSpacing"/>
        <w:jc w:val="center"/>
        <w:rPr>
          <w:rFonts w:ascii="Verdana" w:hAnsi="Verdana"/>
          <w:i/>
          <w:sz w:val="20"/>
          <w:szCs w:val="24"/>
        </w:rPr>
      </w:pPr>
      <w:r>
        <w:rPr>
          <w:rFonts w:ascii="Verdana" w:hAnsi="Verdana"/>
          <w:i/>
          <w:sz w:val="20"/>
          <w:szCs w:val="24"/>
        </w:rPr>
        <w:t>Council Tax: Table CTSOP 4.1, Stock of Properties, England and Wales, 2017 VOA</w:t>
      </w:r>
    </w:p>
    <w:p w14:paraId="21C21A00" w14:textId="77777777" w:rsidR="006A066C" w:rsidRDefault="006A066C" w:rsidP="008B5A87">
      <w:pPr>
        <w:pStyle w:val="NoSpacing"/>
        <w:jc w:val="both"/>
        <w:rPr>
          <w:rFonts w:ascii="Verdana" w:hAnsi="Verdana" w:cs="Arial"/>
          <w:b/>
          <w:sz w:val="24"/>
          <w:szCs w:val="24"/>
        </w:rPr>
      </w:pPr>
    </w:p>
    <w:p w14:paraId="2E6C3476" w14:textId="77777777" w:rsidR="006A066C" w:rsidRDefault="006A066C" w:rsidP="008B5A87">
      <w:pPr>
        <w:pStyle w:val="NoSpacing"/>
        <w:jc w:val="both"/>
        <w:rPr>
          <w:rFonts w:ascii="Verdana" w:hAnsi="Verdana" w:cs="Arial"/>
          <w:b/>
          <w:sz w:val="24"/>
          <w:szCs w:val="24"/>
        </w:rPr>
      </w:pPr>
    </w:p>
    <w:p w14:paraId="08257121" w14:textId="77777777" w:rsidR="00902E09" w:rsidRPr="005C2DF9" w:rsidRDefault="00F455D9" w:rsidP="008B5A87">
      <w:pPr>
        <w:pStyle w:val="NoSpacing"/>
        <w:jc w:val="both"/>
        <w:rPr>
          <w:rFonts w:ascii="Verdana" w:hAnsi="Verdana" w:cs="Arial"/>
          <w:b/>
          <w:sz w:val="24"/>
          <w:szCs w:val="24"/>
        </w:rPr>
      </w:pPr>
      <w:r w:rsidRPr="005C2DF9">
        <w:rPr>
          <w:rFonts w:ascii="Verdana" w:hAnsi="Verdana" w:cs="Arial"/>
          <w:b/>
          <w:sz w:val="24"/>
          <w:szCs w:val="24"/>
        </w:rPr>
        <w:t>R</w:t>
      </w:r>
      <w:r w:rsidR="00F14218" w:rsidRPr="005C2DF9">
        <w:rPr>
          <w:rFonts w:ascii="Verdana" w:hAnsi="Verdana" w:cs="Arial"/>
          <w:b/>
          <w:sz w:val="24"/>
          <w:szCs w:val="24"/>
        </w:rPr>
        <w:t>esidential Sales</w:t>
      </w:r>
    </w:p>
    <w:p w14:paraId="1F71C5CC" w14:textId="77777777" w:rsidR="000F23DA" w:rsidRDefault="00902E09" w:rsidP="00B753B9">
      <w:pPr>
        <w:pStyle w:val="NoSpacing"/>
        <w:spacing w:before="120"/>
        <w:jc w:val="both"/>
        <w:rPr>
          <w:rFonts w:ascii="Verdana" w:hAnsi="Verdana" w:cs="Arial"/>
          <w:sz w:val="24"/>
          <w:szCs w:val="24"/>
        </w:rPr>
      </w:pPr>
      <w:r w:rsidRPr="00B35233">
        <w:rPr>
          <w:rFonts w:ascii="Verdana" w:hAnsi="Verdana" w:cs="Arial"/>
          <w:sz w:val="24"/>
          <w:szCs w:val="24"/>
        </w:rPr>
        <w:t>Land</w:t>
      </w:r>
      <w:r w:rsidR="003D1B6E" w:rsidRPr="00B35233">
        <w:rPr>
          <w:rFonts w:ascii="Verdana" w:hAnsi="Verdana" w:cs="Arial"/>
          <w:sz w:val="24"/>
          <w:szCs w:val="24"/>
        </w:rPr>
        <w:t xml:space="preserve"> </w:t>
      </w:r>
      <w:r w:rsidRPr="00B35233">
        <w:rPr>
          <w:rFonts w:ascii="Verdana" w:hAnsi="Verdana" w:cs="Arial"/>
          <w:sz w:val="24"/>
          <w:szCs w:val="24"/>
        </w:rPr>
        <w:t>Registry</w:t>
      </w:r>
      <w:r w:rsidR="003D1B6E" w:rsidRPr="00B35233">
        <w:rPr>
          <w:rFonts w:ascii="Verdana" w:hAnsi="Verdana" w:cs="Arial"/>
          <w:sz w:val="24"/>
          <w:szCs w:val="24"/>
        </w:rPr>
        <w:t xml:space="preserve"> </w:t>
      </w:r>
      <w:r w:rsidRPr="00B35233">
        <w:rPr>
          <w:rFonts w:ascii="Verdana" w:hAnsi="Verdana" w:cs="Arial"/>
          <w:sz w:val="24"/>
          <w:szCs w:val="24"/>
        </w:rPr>
        <w:t>price</w:t>
      </w:r>
      <w:r w:rsidR="003D1B6E" w:rsidRPr="00B35233">
        <w:rPr>
          <w:rFonts w:ascii="Verdana" w:hAnsi="Verdana" w:cs="Arial"/>
          <w:sz w:val="24"/>
          <w:szCs w:val="24"/>
        </w:rPr>
        <w:t xml:space="preserve"> </w:t>
      </w:r>
      <w:r w:rsidRPr="00B35233">
        <w:rPr>
          <w:rFonts w:ascii="Verdana" w:hAnsi="Verdana" w:cs="Arial"/>
          <w:sz w:val="24"/>
          <w:szCs w:val="24"/>
        </w:rPr>
        <w:t>paid</w:t>
      </w:r>
      <w:r w:rsidR="003D1B6E" w:rsidRPr="00B35233">
        <w:rPr>
          <w:rFonts w:ascii="Verdana" w:hAnsi="Verdana" w:cs="Arial"/>
          <w:sz w:val="24"/>
          <w:szCs w:val="24"/>
        </w:rPr>
        <w:t xml:space="preserve"> </w:t>
      </w:r>
      <w:r w:rsidRPr="00B35233">
        <w:rPr>
          <w:rFonts w:ascii="Verdana" w:hAnsi="Verdana" w:cs="Arial"/>
          <w:sz w:val="24"/>
          <w:szCs w:val="24"/>
        </w:rPr>
        <w:t>data</w:t>
      </w:r>
      <w:r w:rsidR="003D1B6E" w:rsidRPr="00B35233">
        <w:rPr>
          <w:rFonts w:ascii="Verdana" w:hAnsi="Verdana" w:cs="Arial"/>
          <w:sz w:val="24"/>
          <w:szCs w:val="24"/>
        </w:rPr>
        <w:t xml:space="preserve"> </w:t>
      </w:r>
      <w:r w:rsidRPr="00B35233">
        <w:rPr>
          <w:rFonts w:ascii="Verdana" w:hAnsi="Verdana" w:cs="Arial"/>
          <w:sz w:val="24"/>
          <w:szCs w:val="24"/>
        </w:rPr>
        <w:t>shows</w:t>
      </w:r>
      <w:r w:rsidR="003D1B6E" w:rsidRPr="00B35233">
        <w:rPr>
          <w:rFonts w:ascii="Verdana" w:hAnsi="Verdana" w:cs="Arial"/>
          <w:sz w:val="24"/>
          <w:szCs w:val="24"/>
        </w:rPr>
        <w:t xml:space="preserve"> </w:t>
      </w:r>
      <w:r w:rsidR="00A31BD5">
        <w:rPr>
          <w:rFonts w:ascii="Verdana" w:hAnsi="Verdana" w:cs="Arial"/>
          <w:sz w:val="24"/>
          <w:szCs w:val="24"/>
        </w:rPr>
        <w:t>around</w:t>
      </w:r>
      <w:r w:rsidR="007531F3">
        <w:rPr>
          <w:rFonts w:ascii="Verdana" w:hAnsi="Verdana" w:cs="Arial"/>
          <w:sz w:val="24"/>
          <w:szCs w:val="24"/>
        </w:rPr>
        <w:t xml:space="preserve"> </w:t>
      </w:r>
      <w:r w:rsidR="00A456E9">
        <w:rPr>
          <w:rFonts w:ascii="Verdana" w:hAnsi="Verdana" w:cs="Arial"/>
          <w:sz w:val="24"/>
          <w:szCs w:val="24"/>
        </w:rPr>
        <w:t>492</w:t>
      </w:r>
      <w:r w:rsidR="00782928">
        <w:rPr>
          <w:rFonts w:ascii="Verdana" w:hAnsi="Verdana" w:cs="Arial"/>
          <w:sz w:val="24"/>
          <w:szCs w:val="24"/>
        </w:rPr>
        <w:t xml:space="preserve"> </w:t>
      </w:r>
      <w:r w:rsidR="008B276C" w:rsidRPr="00B35233">
        <w:rPr>
          <w:rFonts w:ascii="Verdana" w:hAnsi="Verdana" w:cs="Arial"/>
          <w:sz w:val="24"/>
          <w:szCs w:val="24"/>
        </w:rPr>
        <w:t>residential property sales</w:t>
      </w:r>
      <w:r w:rsidR="003D1B6E" w:rsidRPr="00B35233">
        <w:rPr>
          <w:rFonts w:ascii="Verdana" w:hAnsi="Verdana" w:cs="Arial"/>
          <w:sz w:val="24"/>
          <w:szCs w:val="24"/>
        </w:rPr>
        <w:t xml:space="preserve"> </w:t>
      </w:r>
      <w:r w:rsidRPr="00B35233">
        <w:rPr>
          <w:rFonts w:ascii="Verdana" w:hAnsi="Verdana" w:cs="Arial"/>
          <w:sz w:val="24"/>
          <w:szCs w:val="24"/>
        </w:rPr>
        <w:t>were</w:t>
      </w:r>
      <w:r w:rsidR="003D1B6E" w:rsidRPr="00B35233">
        <w:rPr>
          <w:rFonts w:ascii="Verdana" w:hAnsi="Verdana" w:cs="Arial"/>
          <w:sz w:val="24"/>
          <w:szCs w:val="24"/>
        </w:rPr>
        <w:t xml:space="preserve"> </w:t>
      </w:r>
      <w:r w:rsidR="008B276C" w:rsidRPr="00B35233">
        <w:rPr>
          <w:rFonts w:ascii="Verdana" w:hAnsi="Verdana" w:cs="Arial"/>
          <w:sz w:val="24"/>
          <w:szCs w:val="24"/>
        </w:rPr>
        <w:t xml:space="preserve">recorded </w:t>
      </w:r>
      <w:r w:rsidRPr="00B35233">
        <w:rPr>
          <w:rFonts w:ascii="Verdana" w:hAnsi="Verdana" w:cs="Arial"/>
          <w:sz w:val="24"/>
          <w:szCs w:val="24"/>
        </w:rPr>
        <w:t>in</w:t>
      </w:r>
      <w:r w:rsidR="003D1B6E" w:rsidRPr="00B35233">
        <w:rPr>
          <w:rFonts w:ascii="Verdana" w:hAnsi="Verdana" w:cs="Arial"/>
          <w:sz w:val="24"/>
          <w:szCs w:val="24"/>
        </w:rPr>
        <w:t xml:space="preserve"> </w:t>
      </w:r>
      <w:r w:rsidRPr="00B35233">
        <w:rPr>
          <w:rFonts w:ascii="Verdana" w:hAnsi="Verdana" w:cs="Arial"/>
          <w:sz w:val="24"/>
          <w:szCs w:val="24"/>
        </w:rPr>
        <w:t>the</w:t>
      </w:r>
      <w:r w:rsidR="003D1B6E" w:rsidRPr="00B35233">
        <w:rPr>
          <w:rFonts w:ascii="Verdana" w:hAnsi="Verdana" w:cs="Arial"/>
          <w:sz w:val="24"/>
          <w:szCs w:val="24"/>
        </w:rPr>
        <w:t xml:space="preserve"> </w:t>
      </w:r>
      <w:r w:rsidR="00F64A4F">
        <w:rPr>
          <w:rFonts w:ascii="Verdana" w:hAnsi="Verdana" w:cs="Arial"/>
          <w:sz w:val="24"/>
          <w:szCs w:val="24"/>
        </w:rPr>
        <w:t>Blackfordby</w:t>
      </w:r>
      <w:r w:rsidR="00BC4DB4" w:rsidRPr="00B35233">
        <w:rPr>
          <w:rFonts w:ascii="Verdana" w:hAnsi="Verdana" w:cs="Arial"/>
          <w:sz w:val="24"/>
          <w:szCs w:val="24"/>
        </w:rPr>
        <w:t xml:space="preserve"> </w:t>
      </w:r>
      <w:r w:rsidR="00A456E9">
        <w:rPr>
          <w:rFonts w:ascii="Verdana" w:hAnsi="Verdana" w:cs="Arial"/>
          <w:sz w:val="24"/>
          <w:szCs w:val="24"/>
        </w:rPr>
        <w:t>l</w:t>
      </w:r>
      <w:r w:rsidR="00F64A4F">
        <w:rPr>
          <w:rFonts w:ascii="Verdana" w:hAnsi="Verdana" w:cs="Arial"/>
          <w:sz w:val="24"/>
          <w:szCs w:val="24"/>
        </w:rPr>
        <w:t>ocal area</w:t>
      </w:r>
      <w:r w:rsidR="003D1B6E" w:rsidRPr="00B35233">
        <w:rPr>
          <w:rFonts w:ascii="Verdana" w:hAnsi="Verdana" w:cs="Arial"/>
          <w:sz w:val="24"/>
          <w:szCs w:val="24"/>
        </w:rPr>
        <w:t xml:space="preserve"> </w:t>
      </w:r>
      <w:r w:rsidRPr="00B35233">
        <w:rPr>
          <w:rFonts w:ascii="Verdana" w:hAnsi="Verdana" w:cs="Arial"/>
          <w:sz w:val="24"/>
          <w:szCs w:val="24"/>
        </w:rPr>
        <w:t>between</w:t>
      </w:r>
      <w:r w:rsidR="003D1B6E" w:rsidRPr="00B35233">
        <w:rPr>
          <w:rFonts w:ascii="Verdana" w:hAnsi="Verdana" w:cs="Arial"/>
          <w:sz w:val="24"/>
          <w:szCs w:val="24"/>
        </w:rPr>
        <w:t xml:space="preserve"> </w:t>
      </w:r>
      <w:r w:rsidRPr="00B35233">
        <w:rPr>
          <w:rFonts w:ascii="Verdana" w:hAnsi="Verdana" w:cs="Arial"/>
          <w:sz w:val="24"/>
          <w:szCs w:val="24"/>
        </w:rPr>
        <w:t>1995</w:t>
      </w:r>
      <w:r w:rsidR="003D1B6E" w:rsidRPr="00B35233">
        <w:rPr>
          <w:rFonts w:ascii="Verdana" w:hAnsi="Verdana" w:cs="Arial"/>
          <w:sz w:val="24"/>
          <w:szCs w:val="24"/>
        </w:rPr>
        <w:t xml:space="preserve"> </w:t>
      </w:r>
      <w:r w:rsidRPr="00B35233">
        <w:rPr>
          <w:rFonts w:ascii="Verdana" w:hAnsi="Verdana" w:cs="Arial"/>
          <w:sz w:val="24"/>
          <w:szCs w:val="24"/>
        </w:rPr>
        <w:t>and</w:t>
      </w:r>
      <w:r w:rsidR="003D1B6E" w:rsidRPr="00B35233">
        <w:rPr>
          <w:rFonts w:ascii="Verdana" w:hAnsi="Verdana" w:cs="Arial"/>
          <w:sz w:val="24"/>
          <w:szCs w:val="24"/>
        </w:rPr>
        <w:t xml:space="preserve"> </w:t>
      </w:r>
      <w:r w:rsidR="00782928">
        <w:rPr>
          <w:rFonts w:ascii="Verdana" w:hAnsi="Verdana" w:cs="Arial"/>
          <w:sz w:val="24"/>
          <w:szCs w:val="24"/>
        </w:rPr>
        <w:t>201</w:t>
      </w:r>
      <w:r w:rsidR="00A456E9">
        <w:rPr>
          <w:rFonts w:ascii="Verdana" w:hAnsi="Verdana" w:cs="Arial"/>
          <w:sz w:val="24"/>
          <w:szCs w:val="24"/>
        </w:rPr>
        <w:t>7</w:t>
      </w:r>
      <w:r w:rsidRPr="00B35233">
        <w:rPr>
          <w:rFonts w:ascii="Verdana" w:hAnsi="Verdana" w:cs="Arial"/>
          <w:sz w:val="24"/>
          <w:szCs w:val="24"/>
        </w:rPr>
        <w:t>.</w:t>
      </w:r>
      <w:r w:rsidR="00782928">
        <w:rPr>
          <w:rFonts w:ascii="Verdana" w:hAnsi="Verdana" w:cs="Arial"/>
          <w:sz w:val="24"/>
          <w:szCs w:val="24"/>
        </w:rPr>
        <w:t xml:space="preserve"> </w:t>
      </w:r>
      <w:r w:rsidR="0054616C">
        <w:rPr>
          <w:rFonts w:ascii="Verdana" w:hAnsi="Verdana" w:cs="Arial"/>
          <w:sz w:val="24"/>
          <w:szCs w:val="24"/>
        </w:rPr>
        <w:t xml:space="preserve">At </w:t>
      </w:r>
      <w:r w:rsidR="00A456E9">
        <w:rPr>
          <w:rFonts w:ascii="Verdana" w:hAnsi="Verdana" w:cs="Arial"/>
          <w:sz w:val="24"/>
          <w:szCs w:val="24"/>
        </w:rPr>
        <w:t>60</w:t>
      </w:r>
      <w:r w:rsidR="0054616C">
        <w:rPr>
          <w:rFonts w:ascii="Verdana" w:hAnsi="Verdana" w:cs="Arial"/>
          <w:sz w:val="24"/>
          <w:szCs w:val="24"/>
        </w:rPr>
        <w:t>% d</w:t>
      </w:r>
      <w:r w:rsidR="00A31BD5">
        <w:rPr>
          <w:rFonts w:ascii="Verdana" w:hAnsi="Verdana" w:cs="Arial"/>
          <w:sz w:val="24"/>
          <w:szCs w:val="24"/>
        </w:rPr>
        <w:t>etached housing acco</w:t>
      </w:r>
      <w:r w:rsidR="007C00A1">
        <w:rPr>
          <w:rFonts w:ascii="Verdana" w:hAnsi="Verdana" w:cs="Arial"/>
          <w:sz w:val="24"/>
          <w:szCs w:val="24"/>
        </w:rPr>
        <w:t xml:space="preserve">unted for the majority of sales, </w:t>
      </w:r>
      <w:r w:rsidR="00A456E9">
        <w:rPr>
          <w:rFonts w:ascii="Verdana" w:hAnsi="Verdana" w:cs="Arial"/>
          <w:sz w:val="24"/>
          <w:szCs w:val="24"/>
        </w:rPr>
        <w:t>32</w:t>
      </w:r>
      <w:r w:rsidR="0054616C">
        <w:rPr>
          <w:rFonts w:ascii="Verdana" w:hAnsi="Verdana" w:cs="Arial"/>
          <w:sz w:val="24"/>
          <w:szCs w:val="24"/>
        </w:rPr>
        <w:t>% were</w:t>
      </w:r>
      <w:r w:rsidR="00043161">
        <w:rPr>
          <w:rFonts w:ascii="Verdana" w:hAnsi="Verdana" w:cs="Arial"/>
          <w:sz w:val="24"/>
          <w:szCs w:val="24"/>
        </w:rPr>
        <w:t xml:space="preserve"> semi-detached</w:t>
      </w:r>
      <w:r w:rsidR="00A31BD5">
        <w:rPr>
          <w:rFonts w:ascii="Verdana" w:hAnsi="Verdana" w:cs="Arial"/>
          <w:sz w:val="24"/>
          <w:szCs w:val="24"/>
        </w:rPr>
        <w:t xml:space="preserve"> and </w:t>
      </w:r>
      <w:r w:rsidR="00A456E9">
        <w:rPr>
          <w:rFonts w:ascii="Verdana" w:hAnsi="Verdana" w:cs="Arial"/>
          <w:sz w:val="24"/>
          <w:szCs w:val="24"/>
        </w:rPr>
        <w:t>8</w:t>
      </w:r>
      <w:r w:rsidR="00A31BD5">
        <w:rPr>
          <w:rFonts w:ascii="Verdana" w:hAnsi="Verdana" w:cs="Arial"/>
          <w:sz w:val="24"/>
          <w:szCs w:val="24"/>
        </w:rPr>
        <w:t xml:space="preserve">% </w:t>
      </w:r>
      <w:r w:rsidR="0054616C">
        <w:rPr>
          <w:rFonts w:ascii="Verdana" w:hAnsi="Verdana" w:cs="Arial"/>
          <w:sz w:val="24"/>
          <w:szCs w:val="24"/>
        </w:rPr>
        <w:t>terraced</w:t>
      </w:r>
      <w:r w:rsidR="00162A3F" w:rsidRPr="005C2DF9">
        <w:rPr>
          <w:rFonts w:ascii="Verdana" w:hAnsi="Verdana" w:cs="Arial"/>
          <w:sz w:val="24"/>
          <w:szCs w:val="24"/>
        </w:rPr>
        <w:t>.</w:t>
      </w:r>
      <w:r w:rsidR="00F32AF5">
        <w:rPr>
          <w:rFonts w:ascii="Verdana" w:hAnsi="Verdana" w:cs="Arial"/>
          <w:sz w:val="24"/>
          <w:szCs w:val="24"/>
        </w:rPr>
        <w:t xml:space="preserve"> </w:t>
      </w:r>
      <w:r w:rsidR="00957686">
        <w:rPr>
          <w:rFonts w:ascii="Verdana" w:hAnsi="Verdana" w:cs="Arial"/>
          <w:sz w:val="24"/>
          <w:szCs w:val="24"/>
        </w:rPr>
        <w:t>It should be noted</w:t>
      </w:r>
      <w:r w:rsidR="005B03F9">
        <w:rPr>
          <w:rFonts w:ascii="Verdana" w:hAnsi="Verdana" w:cs="Arial"/>
          <w:sz w:val="24"/>
          <w:szCs w:val="24"/>
        </w:rPr>
        <w:t xml:space="preserve"> that</w:t>
      </w:r>
      <w:r w:rsidR="00957686">
        <w:rPr>
          <w:rFonts w:ascii="Verdana" w:hAnsi="Verdana" w:cs="Arial"/>
          <w:sz w:val="24"/>
          <w:szCs w:val="24"/>
        </w:rPr>
        <w:t xml:space="preserve"> </w:t>
      </w:r>
      <w:r w:rsidR="007C00A1">
        <w:rPr>
          <w:rFonts w:ascii="Verdana" w:hAnsi="Verdana" w:cs="Arial"/>
          <w:sz w:val="24"/>
          <w:szCs w:val="24"/>
        </w:rPr>
        <w:t xml:space="preserve">all </w:t>
      </w:r>
      <w:r w:rsidR="00957686">
        <w:rPr>
          <w:rFonts w:ascii="Verdana" w:hAnsi="Verdana" w:cs="Arial"/>
          <w:sz w:val="24"/>
          <w:szCs w:val="24"/>
        </w:rPr>
        <w:t>sales are</w:t>
      </w:r>
      <w:r w:rsidR="0054616C">
        <w:rPr>
          <w:rFonts w:ascii="Verdana" w:hAnsi="Verdana" w:cs="Arial"/>
          <w:sz w:val="24"/>
          <w:szCs w:val="24"/>
        </w:rPr>
        <w:t xml:space="preserve"> not</w:t>
      </w:r>
      <w:r w:rsidR="00957686">
        <w:rPr>
          <w:rFonts w:ascii="Verdana" w:hAnsi="Verdana" w:cs="Arial"/>
          <w:sz w:val="24"/>
          <w:szCs w:val="24"/>
        </w:rPr>
        <w:t xml:space="preserve"> captured by the Land Registry, for example properties that were not full market value, right to buy</w:t>
      </w:r>
      <w:r w:rsidR="00B26B3F">
        <w:rPr>
          <w:rFonts w:ascii="Verdana" w:hAnsi="Verdana" w:cs="Arial"/>
          <w:sz w:val="24"/>
          <w:szCs w:val="24"/>
        </w:rPr>
        <w:t xml:space="preserve"> and</w:t>
      </w:r>
      <w:r w:rsidR="00957686">
        <w:rPr>
          <w:rFonts w:ascii="Verdana" w:hAnsi="Verdana" w:cs="Arial"/>
          <w:sz w:val="24"/>
          <w:szCs w:val="24"/>
        </w:rPr>
        <w:t xml:space="preserve"> compulsory purchase orders</w:t>
      </w:r>
      <w:r w:rsidR="007C00A1">
        <w:rPr>
          <w:rFonts w:ascii="Verdana" w:hAnsi="Verdana" w:cs="Arial"/>
          <w:sz w:val="24"/>
          <w:szCs w:val="24"/>
        </w:rPr>
        <w:t xml:space="preserve"> will be excluded</w:t>
      </w:r>
      <w:r w:rsidR="00F4151A">
        <w:rPr>
          <w:rFonts w:ascii="Verdana" w:hAnsi="Verdana" w:cs="Arial"/>
          <w:sz w:val="24"/>
          <w:szCs w:val="24"/>
        </w:rPr>
        <w:t>.</w:t>
      </w:r>
    </w:p>
    <w:p w14:paraId="6ABDEF89" w14:textId="77777777" w:rsidR="009E1654" w:rsidRPr="009E1654" w:rsidRDefault="009E1654" w:rsidP="009E1654">
      <w:pPr>
        <w:pStyle w:val="NoSpacing"/>
      </w:pPr>
    </w:p>
    <w:p w14:paraId="139B3F1A" w14:textId="77777777" w:rsidR="00957686" w:rsidRPr="00782928" w:rsidRDefault="00957686" w:rsidP="007A0D23">
      <w:pPr>
        <w:pStyle w:val="Caption"/>
        <w:keepNext/>
        <w:keepLines/>
        <w:spacing w:after="0"/>
        <w:jc w:val="center"/>
        <w:rPr>
          <w:rFonts w:ascii="Verdana" w:hAnsi="Verdana" w:cs="Arial"/>
          <w:b/>
          <w:sz w:val="20"/>
          <w:szCs w:val="24"/>
        </w:rPr>
      </w:pPr>
      <w:r w:rsidRPr="00782928">
        <w:rPr>
          <w:rFonts w:ascii="Verdana" w:hAnsi="Verdana" w:cs="Arial"/>
          <w:b/>
          <w:sz w:val="20"/>
          <w:szCs w:val="24"/>
        </w:rPr>
        <w:t xml:space="preserve">Figure </w:t>
      </w:r>
      <w:r w:rsidR="00913D88">
        <w:rPr>
          <w:rFonts w:ascii="Verdana" w:hAnsi="Verdana" w:cs="Arial"/>
          <w:b/>
          <w:sz w:val="20"/>
          <w:szCs w:val="24"/>
        </w:rPr>
        <w:fldChar w:fldCharType="begin"/>
      </w:r>
      <w:r w:rsidR="00913D88">
        <w:rPr>
          <w:rFonts w:ascii="Verdana" w:hAnsi="Verdana" w:cs="Arial"/>
          <w:b/>
          <w:sz w:val="20"/>
          <w:szCs w:val="24"/>
        </w:rPr>
        <w:instrText xml:space="preserve"> SEQ Figure \* ARABIC </w:instrText>
      </w:r>
      <w:r w:rsidR="00913D88">
        <w:rPr>
          <w:rFonts w:ascii="Verdana" w:hAnsi="Verdana" w:cs="Arial"/>
          <w:b/>
          <w:sz w:val="20"/>
          <w:szCs w:val="24"/>
        </w:rPr>
        <w:fldChar w:fldCharType="separate"/>
      </w:r>
      <w:r w:rsidR="00CA4EB9">
        <w:rPr>
          <w:rFonts w:ascii="Verdana" w:hAnsi="Verdana" w:cs="Arial"/>
          <w:b/>
          <w:noProof/>
          <w:sz w:val="20"/>
          <w:szCs w:val="24"/>
        </w:rPr>
        <w:t>8</w:t>
      </w:r>
      <w:r w:rsidR="00913D88">
        <w:rPr>
          <w:rFonts w:ascii="Verdana" w:hAnsi="Verdana" w:cs="Arial"/>
          <w:b/>
          <w:sz w:val="20"/>
          <w:szCs w:val="24"/>
        </w:rPr>
        <w:fldChar w:fldCharType="end"/>
      </w:r>
    </w:p>
    <w:p w14:paraId="45D0843D" w14:textId="77777777" w:rsidR="00957686" w:rsidRDefault="00043161" w:rsidP="007A0D23">
      <w:pPr>
        <w:pStyle w:val="NoSpacing"/>
        <w:jc w:val="center"/>
        <w:rPr>
          <w:rFonts w:ascii="Verdana" w:hAnsi="Verdana" w:cs="Arial"/>
          <w:sz w:val="24"/>
          <w:szCs w:val="24"/>
        </w:rPr>
      </w:pPr>
      <w:r>
        <w:rPr>
          <w:rFonts w:ascii="Verdana" w:hAnsi="Verdana" w:cs="Arial"/>
          <w:noProof/>
          <w:sz w:val="24"/>
          <w:szCs w:val="24"/>
        </w:rPr>
        <w:drawing>
          <wp:inline distT="0" distB="0" distL="0" distR="0" wp14:anchorId="1A2CDC1C" wp14:editId="4604D073">
            <wp:extent cx="4192259" cy="2519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192259" cy="2519816"/>
                    </a:xfrm>
                    <a:prstGeom prst="rect">
                      <a:avLst/>
                    </a:prstGeom>
                    <a:noFill/>
                  </pic:spPr>
                </pic:pic>
              </a:graphicData>
            </a:graphic>
          </wp:inline>
        </w:drawing>
      </w:r>
    </w:p>
    <w:p w14:paraId="6B6DF00C" w14:textId="77777777" w:rsidR="00E40311" w:rsidRPr="007531F3" w:rsidRDefault="00E40311" w:rsidP="007A0D23">
      <w:pPr>
        <w:pStyle w:val="NoSpacing"/>
        <w:keepNext/>
        <w:keepLines/>
        <w:jc w:val="center"/>
        <w:rPr>
          <w:rFonts w:ascii="Verdana" w:hAnsi="Verdana" w:cs="Arial"/>
          <w:i/>
          <w:sz w:val="18"/>
          <w:szCs w:val="24"/>
        </w:rPr>
      </w:pPr>
      <w:r w:rsidRPr="007531F3">
        <w:rPr>
          <w:rFonts w:ascii="Verdana" w:hAnsi="Verdana" w:cs="Arial"/>
          <w:i/>
          <w:sz w:val="18"/>
          <w:szCs w:val="24"/>
        </w:rPr>
        <w:t>Data produced by Land Registry © Crown copyright 201</w:t>
      </w:r>
      <w:r w:rsidR="00043161">
        <w:rPr>
          <w:rFonts w:ascii="Verdana" w:hAnsi="Verdana" w:cs="Arial"/>
          <w:i/>
          <w:sz w:val="18"/>
          <w:szCs w:val="24"/>
        </w:rPr>
        <w:t>7</w:t>
      </w:r>
      <w:r w:rsidR="007531F3">
        <w:rPr>
          <w:rFonts w:ascii="Verdana" w:hAnsi="Verdana" w:cs="Arial"/>
          <w:i/>
          <w:sz w:val="18"/>
          <w:szCs w:val="24"/>
        </w:rPr>
        <w:t xml:space="preserve"> (data available at</w:t>
      </w:r>
      <w:r w:rsidR="00F20825">
        <w:rPr>
          <w:rFonts w:ascii="Verdana" w:hAnsi="Verdana" w:cs="Arial"/>
          <w:i/>
          <w:sz w:val="18"/>
          <w:szCs w:val="24"/>
        </w:rPr>
        <w:t xml:space="preserve"> </w:t>
      </w:r>
      <w:r w:rsidR="00A456E9">
        <w:rPr>
          <w:rFonts w:ascii="Verdana" w:hAnsi="Verdana" w:cs="Arial"/>
          <w:i/>
          <w:sz w:val="18"/>
          <w:szCs w:val="24"/>
        </w:rPr>
        <w:t>19.1.18</w:t>
      </w:r>
      <w:r w:rsidR="007531F3" w:rsidRPr="007531F3">
        <w:rPr>
          <w:rFonts w:ascii="Verdana" w:hAnsi="Verdana" w:cs="Arial"/>
          <w:i/>
          <w:sz w:val="18"/>
          <w:szCs w:val="24"/>
        </w:rPr>
        <w:t>)</w:t>
      </w:r>
    </w:p>
    <w:p w14:paraId="739EFF08" w14:textId="77777777" w:rsidR="00957686" w:rsidRPr="00A31BD5" w:rsidRDefault="00957686" w:rsidP="00957686">
      <w:pPr>
        <w:pStyle w:val="NoSpacing"/>
        <w:rPr>
          <w:rFonts w:ascii="Verdana" w:hAnsi="Verdana" w:cs="Arial"/>
          <w:sz w:val="24"/>
          <w:szCs w:val="24"/>
        </w:rPr>
      </w:pPr>
    </w:p>
    <w:p w14:paraId="35AACDB8" w14:textId="77777777" w:rsidR="000D7C80" w:rsidRDefault="008E60EE" w:rsidP="000D7C80">
      <w:pPr>
        <w:pStyle w:val="NoSpacing"/>
        <w:jc w:val="both"/>
        <w:rPr>
          <w:rFonts w:ascii="Verdana" w:hAnsi="Verdana" w:cs="Arial"/>
          <w:sz w:val="24"/>
          <w:szCs w:val="24"/>
        </w:rPr>
      </w:pPr>
      <w:r>
        <w:rPr>
          <w:rFonts w:ascii="Verdana" w:hAnsi="Verdana" w:cs="Arial"/>
          <w:sz w:val="24"/>
          <w:szCs w:val="24"/>
        </w:rPr>
        <w:t xml:space="preserve">As outlined above, there is evidence of </w:t>
      </w:r>
      <w:r w:rsidR="00675D2E">
        <w:rPr>
          <w:rFonts w:ascii="Verdana" w:hAnsi="Verdana" w:cs="Arial"/>
          <w:sz w:val="24"/>
          <w:szCs w:val="24"/>
        </w:rPr>
        <w:t xml:space="preserve">a small supply of </w:t>
      </w:r>
      <w:r>
        <w:rPr>
          <w:rFonts w:ascii="Verdana" w:hAnsi="Verdana" w:cs="Arial"/>
          <w:sz w:val="24"/>
          <w:szCs w:val="24"/>
        </w:rPr>
        <w:t xml:space="preserve">new build housing in the local area with </w:t>
      </w:r>
      <w:r w:rsidR="00A456E9">
        <w:rPr>
          <w:rFonts w:ascii="Verdana" w:hAnsi="Verdana" w:cs="Arial"/>
          <w:sz w:val="24"/>
          <w:szCs w:val="24"/>
        </w:rPr>
        <w:t>1</w:t>
      </w:r>
      <w:r w:rsidR="0054616C">
        <w:rPr>
          <w:rFonts w:ascii="Verdana" w:hAnsi="Verdana" w:cs="Arial"/>
          <w:sz w:val="24"/>
          <w:szCs w:val="24"/>
        </w:rPr>
        <w:t>0</w:t>
      </w:r>
      <w:r>
        <w:rPr>
          <w:rFonts w:ascii="Verdana" w:hAnsi="Verdana" w:cs="Arial"/>
          <w:sz w:val="24"/>
          <w:szCs w:val="24"/>
        </w:rPr>
        <w:t xml:space="preserve"> new build residential sales recorded between 1995 and 2016, representing </w:t>
      </w:r>
      <w:r w:rsidR="00A456E9">
        <w:rPr>
          <w:rFonts w:ascii="Verdana" w:hAnsi="Verdana" w:cs="Arial"/>
          <w:sz w:val="24"/>
          <w:szCs w:val="24"/>
        </w:rPr>
        <w:t>just 2</w:t>
      </w:r>
      <w:r>
        <w:rPr>
          <w:rFonts w:ascii="Verdana" w:hAnsi="Verdana" w:cs="Arial"/>
          <w:sz w:val="24"/>
          <w:szCs w:val="24"/>
        </w:rPr>
        <w:t xml:space="preserve">% of total sales recorded by the Land Registry in the area. </w:t>
      </w:r>
      <w:r w:rsidR="000D7C80">
        <w:rPr>
          <w:rFonts w:ascii="Verdana" w:hAnsi="Verdana" w:cs="Arial"/>
          <w:sz w:val="24"/>
          <w:szCs w:val="24"/>
        </w:rPr>
        <w:t xml:space="preserve">Figure </w:t>
      </w:r>
      <w:r w:rsidR="00EA76E2">
        <w:rPr>
          <w:rFonts w:ascii="Verdana" w:hAnsi="Verdana" w:cs="Arial"/>
          <w:sz w:val="24"/>
          <w:szCs w:val="24"/>
        </w:rPr>
        <w:t>9</w:t>
      </w:r>
      <w:r w:rsidR="000D7C80">
        <w:rPr>
          <w:rFonts w:ascii="Verdana" w:hAnsi="Verdana" w:cs="Arial"/>
          <w:sz w:val="24"/>
          <w:szCs w:val="24"/>
        </w:rPr>
        <w:t xml:space="preserve"> below shows the volume of sales together with the overall annual average house price.</w:t>
      </w:r>
    </w:p>
    <w:p w14:paraId="74A2D066" w14:textId="77777777" w:rsidR="000D7C80" w:rsidRDefault="000D7C80" w:rsidP="000D7C80">
      <w:pPr>
        <w:pStyle w:val="NoSpacing"/>
        <w:rPr>
          <w:rFonts w:ascii="Verdana" w:hAnsi="Verdana"/>
          <w:sz w:val="24"/>
          <w:szCs w:val="24"/>
        </w:rPr>
      </w:pPr>
    </w:p>
    <w:p w14:paraId="2521E0FA" w14:textId="77777777" w:rsidR="008E60EE" w:rsidRDefault="008E60EE" w:rsidP="008E60EE">
      <w:pPr>
        <w:pStyle w:val="Caption"/>
        <w:keepNext/>
        <w:keepLines/>
        <w:spacing w:after="0"/>
        <w:jc w:val="center"/>
        <w:rPr>
          <w:rFonts w:ascii="Verdana" w:hAnsi="Verdana" w:cs="Arial"/>
          <w:b/>
          <w:sz w:val="22"/>
          <w:szCs w:val="24"/>
        </w:rPr>
      </w:pPr>
      <w:r w:rsidRPr="00F37FDE">
        <w:rPr>
          <w:rFonts w:ascii="Verdana" w:hAnsi="Verdana" w:cs="Arial"/>
          <w:b/>
          <w:sz w:val="22"/>
          <w:szCs w:val="24"/>
        </w:rPr>
        <w:lastRenderedPageBreak/>
        <w:t xml:space="preserve">Figure </w:t>
      </w:r>
      <w:r w:rsidR="00913D88">
        <w:rPr>
          <w:rFonts w:ascii="Verdana" w:hAnsi="Verdana" w:cs="Arial"/>
          <w:b/>
          <w:sz w:val="22"/>
          <w:szCs w:val="24"/>
        </w:rPr>
        <w:fldChar w:fldCharType="begin"/>
      </w:r>
      <w:r w:rsidR="00913D88">
        <w:rPr>
          <w:rFonts w:ascii="Verdana" w:hAnsi="Verdana" w:cs="Arial"/>
          <w:b/>
          <w:sz w:val="22"/>
          <w:szCs w:val="24"/>
        </w:rPr>
        <w:instrText xml:space="preserve"> SEQ Figure \* ARABIC </w:instrText>
      </w:r>
      <w:r w:rsidR="00913D88">
        <w:rPr>
          <w:rFonts w:ascii="Verdana" w:hAnsi="Verdana" w:cs="Arial"/>
          <w:b/>
          <w:sz w:val="22"/>
          <w:szCs w:val="24"/>
        </w:rPr>
        <w:fldChar w:fldCharType="separate"/>
      </w:r>
      <w:r w:rsidR="00CA4EB9">
        <w:rPr>
          <w:rFonts w:ascii="Verdana" w:hAnsi="Verdana" w:cs="Arial"/>
          <w:b/>
          <w:noProof/>
          <w:sz w:val="22"/>
          <w:szCs w:val="24"/>
        </w:rPr>
        <w:t>9</w:t>
      </w:r>
      <w:r w:rsidR="00913D88">
        <w:rPr>
          <w:rFonts w:ascii="Verdana" w:hAnsi="Verdana" w:cs="Arial"/>
          <w:b/>
          <w:sz w:val="22"/>
          <w:szCs w:val="24"/>
        </w:rPr>
        <w:fldChar w:fldCharType="end"/>
      </w:r>
      <w:r>
        <w:rPr>
          <w:rFonts w:ascii="Verdana" w:hAnsi="Verdana" w:cs="Arial"/>
          <w:b/>
          <w:sz w:val="22"/>
          <w:szCs w:val="24"/>
        </w:rPr>
        <w:t xml:space="preserve">: </w:t>
      </w:r>
    </w:p>
    <w:p w14:paraId="1FC09D7B" w14:textId="77777777" w:rsidR="008E60EE" w:rsidRPr="00BC4DB4" w:rsidRDefault="00043161" w:rsidP="008E60EE">
      <w:pPr>
        <w:keepNext/>
        <w:keepLines/>
        <w:spacing w:after="60" w:line="240" w:lineRule="auto"/>
        <w:jc w:val="center"/>
      </w:pPr>
      <w:r>
        <w:rPr>
          <w:noProof/>
        </w:rPr>
        <w:drawing>
          <wp:inline distT="0" distB="0" distL="0" distR="0" wp14:anchorId="41BDA10C" wp14:editId="0B258A6E">
            <wp:extent cx="5799964" cy="3486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810397" cy="3492421"/>
                    </a:xfrm>
                    <a:prstGeom prst="rect">
                      <a:avLst/>
                    </a:prstGeom>
                    <a:noFill/>
                  </pic:spPr>
                </pic:pic>
              </a:graphicData>
            </a:graphic>
          </wp:inline>
        </w:drawing>
      </w:r>
    </w:p>
    <w:p w14:paraId="3B66362D" w14:textId="77777777" w:rsidR="009B240A" w:rsidRPr="007531F3" w:rsidRDefault="009B240A" w:rsidP="009B240A">
      <w:pPr>
        <w:pStyle w:val="NoSpacing"/>
        <w:keepNext/>
        <w:keepLines/>
        <w:jc w:val="center"/>
        <w:rPr>
          <w:rFonts w:ascii="Verdana" w:hAnsi="Verdana" w:cs="Arial"/>
          <w:i/>
          <w:sz w:val="18"/>
          <w:szCs w:val="24"/>
        </w:rPr>
      </w:pPr>
      <w:r w:rsidRPr="007531F3">
        <w:rPr>
          <w:rFonts w:ascii="Verdana" w:hAnsi="Verdana" w:cs="Arial"/>
          <w:i/>
          <w:sz w:val="18"/>
          <w:szCs w:val="24"/>
        </w:rPr>
        <w:t>Data produced by Land Registry © Crown copyright 201</w:t>
      </w:r>
      <w:r>
        <w:rPr>
          <w:rFonts w:ascii="Verdana" w:hAnsi="Verdana" w:cs="Arial"/>
          <w:i/>
          <w:sz w:val="18"/>
          <w:szCs w:val="24"/>
        </w:rPr>
        <w:t>7 (data available at 21.11.17</w:t>
      </w:r>
      <w:r w:rsidRPr="007531F3">
        <w:rPr>
          <w:rFonts w:ascii="Verdana" w:hAnsi="Verdana" w:cs="Arial"/>
          <w:i/>
          <w:sz w:val="18"/>
          <w:szCs w:val="24"/>
        </w:rPr>
        <w:t>)</w:t>
      </w:r>
    </w:p>
    <w:p w14:paraId="5B39228E" w14:textId="77777777" w:rsidR="000D7C80" w:rsidRDefault="000D7C80" w:rsidP="008E60EE">
      <w:pPr>
        <w:pStyle w:val="NoSpacing"/>
        <w:jc w:val="both"/>
        <w:rPr>
          <w:rFonts w:ascii="Verdana" w:hAnsi="Verdana" w:cs="Arial"/>
          <w:sz w:val="24"/>
          <w:szCs w:val="24"/>
        </w:rPr>
      </w:pPr>
    </w:p>
    <w:p w14:paraId="39EF82FE" w14:textId="77777777" w:rsidR="00A31BD5" w:rsidRDefault="000D7C80" w:rsidP="000D7C80">
      <w:pPr>
        <w:pStyle w:val="NoSpacing"/>
        <w:jc w:val="both"/>
        <w:rPr>
          <w:rFonts w:ascii="Verdana" w:hAnsi="Verdana"/>
          <w:sz w:val="24"/>
          <w:szCs w:val="24"/>
        </w:rPr>
      </w:pPr>
      <w:r>
        <w:rPr>
          <w:rFonts w:ascii="Verdana" w:hAnsi="Verdana" w:cs="Arial"/>
          <w:sz w:val="24"/>
          <w:szCs w:val="24"/>
        </w:rPr>
        <w:t>During this period, the majority (</w:t>
      </w:r>
      <w:r w:rsidR="00A456E9">
        <w:rPr>
          <w:rFonts w:ascii="Verdana" w:hAnsi="Verdana" w:cs="Arial"/>
          <w:sz w:val="24"/>
          <w:szCs w:val="24"/>
        </w:rPr>
        <w:t>90</w:t>
      </w:r>
      <w:r>
        <w:rPr>
          <w:rFonts w:ascii="Verdana" w:hAnsi="Verdana" w:cs="Arial"/>
          <w:sz w:val="24"/>
          <w:szCs w:val="24"/>
        </w:rPr>
        <w:t xml:space="preserve">%) of new build residential sales were detached (Figure </w:t>
      </w:r>
      <w:r w:rsidR="00EA76E2">
        <w:rPr>
          <w:rFonts w:ascii="Verdana" w:hAnsi="Verdana" w:cs="Arial"/>
          <w:sz w:val="24"/>
          <w:szCs w:val="24"/>
        </w:rPr>
        <w:t>1</w:t>
      </w:r>
      <w:r w:rsidR="009B240A">
        <w:rPr>
          <w:rFonts w:ascii="Verdana" w:hAnsi="Verdana" w:cs="Arial"/>
          <w:sz w:val="24"/>
          <w:szCs w:val="24"/>
        </w:rPr>
        <w:t>0</w:t>
      </w:r>
      <w:r>
        <w:rPr>
          <w:rFonts w:ascii="Verdana" w:hAnsi="Verdana" w:cs="Arial"/>
          <w:sz w:val="24"/>
          <w:szCs w:val="24"/>
        </w:rPr>
        <w:t xml:space="preserve">). It should be noted that not all new builds will be captured in the Land Registry price paid data, </w:t>
      </w:r>
      <w:proofErr w:type="spellStart"/>
      <w:r>
        <w:rPr>
          <w:rFonts w:ascii="Verdana" w:hAnsi="Verdana" w:cs="Arial"/>
          <w:sz w:val="24"/>
          <w:szCs w:val="24"/>
        </w:rPr>
        <w:t>eg</w:t>
      </w:r>
      <w:proofErr w:type="spellEnd"/>
      <w:r>
        <w:rPr>
          <w:rFonts w:ascii="Verdana" w:hAnsi="Verdana" w:cs="Arial"/>
          <w:sz w:val="24"/>
          <w:szCs w:val="24"/>
        </w:rPr>
        <w:t xml:space="preserve"> some conversions and social housing units will be excluded. </w:t>
      </w:r>
    </w:p>
    <w:p w14:paraId="34812935" w14:textId="77777777" w:rsidR="00EA76E2" w:rsidRDefault="00EA76E2" w:rsidP="00EA76E2">
      <w:pPr>
        <w:pStyle w:val="Caption"/>
        <w:keepNext/>
        <w:keepLines/>
        <w:spacing w:after="0"/>
        <w:jc w:val="center"/>
        <w:rPr>
          <w:rFonts w:ascii="Verdana" w:hAnsi="Verdana" w:cs="Arial"/>
          <w:b/>
          <w:sz w:val="22"/>
          <w:szCs w:val="24"/>
        </w:rPr>
      </w:pPr>
      <w:r w:rsidRPr="00F37FDE">
        <w:rPr>
          <w:rFonts w:ascii="Verdana" w:hAnsi="Verdana" w:cs="Arial"/>
          <w:b/>
          <w:sz w:val="22"/>
          <w:szCs w:val="24"/>
        </w:rPr>
        <w:t xml:space="preserve">Figure </w:t>
      </w:r>
      <w:r w:rsidR="00913D88">
        <w:rPr>
          <w:rFonts w:ascii="Verdana" w:hAnsi="Verdana" w:cs="Arial"/>
          <w:b/>
          <w:sz w:val="22"/>
          <w:szCs w:val="24"/>
        </w:rPr>
        <w:fldChar w:fldCharType="begin"/>
      </w:r>
      <w:r w:rsidR="00913D88">
        <w:rPr>
          <w:rFonts w:ascii="Verdana" w:hAnsi="Verdana" w:cs="Arial"/>
          <w:b/>
          <w:sz w:val="22"/>
          <w:szCs w:val="24"/>
        </w:rPr>
        <w:instrText xml:space="preserve"> SEQ Figure \* ARABIC </w:instrText>
      </w:r>
      <w:r w:rsidR="00913D88">
        <w:rPr>
          <w:rFonts w:ascii="Verdana" w:hAnsi="Verdana" w:cs="Arial"/>
          <w:b/>
          <w:sz w:val="22"/>
          <w:szCs w:val="24"/>
        </w:rPr>
        <w:fldChar w:fldCharType="separate"/>
      </w:r>
      <w:r w:rsidR="00CA4EB9">
        <w:rPr>
          <w:rFonts w:ascii="Verdana" w:hAnsi="Verdana" w:cs="Arial"/>
          <w:b/>
          <w:noProof/>
          <w:sz w:val="22"/>
          <w:szCs w:val="24"/>
        </w:rPr>
        <w:t>10</w:t>
      </w:r>
      <w:r w:rsidR="00913D88">
        <w:rPr>
          <w:rFonts w:ascii="Verdana" w:hAnsi="Verdana" w:cs="Arial"/>
          <w:b/>
          <w:sz w:val="22"/>
          <w:szCs w:val="24"/>
        </w:rPr>
        <w:fldChar w:fldCharType="end"/>
      </w:r>
      <w:r>
        <w:rPr>
          <w:rFonts w:ascii="Verdana" w:hAnsi="Verdana" w:cs="Arial"/>
          <w:b/>
          <w:sz w:val="22"/>
          <w:szCs w:val="24"/>
        </w:rPr>
        <w:t xml:space="preserve">: </w:t>
      </w:r>
    </w:p>
    <w:p w14:paraId="5A16B569" w14:textId="77777777" w:rsidR="000D7C80" w:rsidRDefault="000D7C80" w:rsidP="000D7C80">
      <w:pPr>
        <w:pStyle w:val="NoSpacing"/>
        <w:keepNext/>
        <w:keepLines/>
        <w:jc w:val="center"/>
        <w:rPr>
          <w:rFonts w:ascii="Verdana" w:hAnsi="Verdana"/>
          <w:sz w:val="24"/>
          <w:szCs w:val="24"/>
        </w:rPr>
      </w:pPr>
      <w:r>
        <w:rPr>
          <w:rFonts w:ascii="Verdana" w:hAnsi="Verdana"/>
          <w:noProof/>
          <w:sz w:val="24"/>
          <w:szCs w:val="24"/>
        </w:rPr>
        <w:drawing>
          <wp:inline distT="0" distB="0" distL="0" distR="0" wp14:anchorId="0101F830" wp14:editId="5AF8C85A">
            <wp:extent cx="5757605" cy="3800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67482" cy="3806995"/>
                    </a:xfrm>
                    <a:prstGeom prst="rect">
                      <a:avLst/>
                    </a:prstGeom>
                    <a:noFill/>
                  </pic:spPr>
                </pic:pic>
              </a:graphicData>
            </a:graphic>
          </wp:inline>
        </w:drawing>
      </w:r>
    </w:p>
    <w:p w14:paraId="343A7136" w14:textId="77777777" w:rsidR="009B240A" w:rsidRPr="007531F3" w:rsidRDefault="009B240A" w:rsidP="009B240A">
      <w:pPr>
        <w:pStyle w:val="NoSpacing"/>
        <w:keepNext/>
        <w:keepLines/>
        <w:jc w:val="center"/>
        <w:rPr>
          <w:rFonts w:ascii="Verdana" w:hAnsi="Verdana" w:cs="Arial"/>
          <w:i/>
          <w:sz w:val="18"/>
          <w:szCs w:val="24"/>
        </w:rPr>
      </w:pPr>
      <w:r w:rsidRPr="007531F3">
        <w:rPr>
          <w:rFonts w:ascii="Verdana" w:hAnsi="Verdana" w:cs="Arial"/>
          <w:i/>
          <w:sz w:val="18"/>
          <w:szCs w:val="24"/>
        </w:rPr>
        <w:t>Data produced by Land Registry © Crown copyright 201</w:t>
      </w:r>
      <w:r>
        <w:rPr>
          <w:rFonts w:ascii="Verdana" w:hAnsi="Verdana" w:cs="Arial"/>
          <w:i/>
          <w:sz w:val="18"/>
          <w:szCs w:val="24"/>
        </w:rPr>
        <w:t>7 (data available at 21.11.17</w:t>
      </w:r>
      <w:r w:rsidRPr="007531F3">
        <w:rPr>
          <w:rFonts w:ascii="Verdana" w:hAnsi="Verdana" w:cs="Arial"/>
          <w:i/>
          <w:sz w:val="18"/>
          <w:szCs w:val="24"/>
        </w:rPr>
        <w:t>)</w:t>
      </w:r>
    </w:p>
    <w:p w14:paraId="4115E5F4" w14:textId="77777777" w:rsidR="000D7C80" w:rsidRDefault="000D7C80" w:rsidP="00A31BD5">
      <w:pPr>
        <w:pStyle w:val="NoSpacing"/>
        <w:rPr>
          <w:rFonts w:ascii="Verdana" w:hAnsi="Verdana"/>
          <w:sz w:val="24"/>
          <w:szCs w:val="24"/>
        </w:rPr>
      </w:pPr>
    </w:p>
    <w:p w14:paraId="0023AA78" w14:textId="77777777" w:rsidR="009B240A" w:rsidRDefault="009B240A" w:rsidP="00A31BD5">
      <w:pPr>
        <w:pStyle w:val="NoSpacing"/>
        <w:rPr>
          <w:rFonts w:ascii="Verdana" w:hAnsi="Verdana"/>
          <w:sz w:val="24"/>
          <w:szCs w:val="24"/>
        </w:rPr>
      </w:pPr>
    </w:p>
    <w:p w14:paraId="734F757D" w14:textId="77777777" w:rsidR="00A31BD5" w:rsidRPr="00A31BD5" w:rsidRDefault="00A31BD5" w:rsidP="00A31BD5">
      <w:pPr>
        <w:pStyle w:val="NoSpacing"/>
        <w:rPr>
          <w:rFonts w:ascii="Verdana" w:hAnsi="Verdana" w:cs="Arial"/>
          <w:b/>
          <w:sz w:val="24"/>
          <w:szCs w:val="24"/>
        </w:rPr>
      </w:pPr>
      <w:r w:rsidRPr="00A31BD5">
        <w:rPr>
          <w:rFonts w:ascii="Verdana" w:hAnsi="Verdana" w:cs="Arial"/>
          <w:b/>
          <w:sz w:val="24"/>
          <w:szCs w:val="24"/>
        </w:rPr>
        <w:lastRenderedPageBreak/>
        <w:t>Housing Affordability</w:t>
      </w:r>
    </w:p>
    <w:p w14:paraId="4A5B2995" w14:textId="77777777" w:rsidR="00A31BD5" w:rsidRPr="00A31BD5" w:rsidRDefault="00A31BD5" w:rsidP="00A31BD5">
      <w:pPr>
        <w:pStyle w:val="NoSpacing"/>
        <w:rPr>
          <w:rFonts w:ascii="Verdana" w:hAnsi="Verdana" w:cs="Arial"/>
          <w:sz w:val="24"/>
          <w:szCs w:val="24"/>
        </w:rPr>
      </w:pPr>
    </w:p>
    <w:p w14:paraId="26571405" w14:textId="77777777" w:rsidR="00623DB9" w:rsidRDefault="00623DB9" w:rsidP="007C00A1">
      <w:pPr>
        <w:pStyle w:val="NoSpacing"/>
        <w:jc w:val="both"/>
        <w:rPr>
          <w:rFonts w:ascii="Verdana" w:hAnsi="Verdana" w:cs="Helvetica"/>
          <w:sz w:val="24"/>
          <w:szCs w:val="24"/>
          <w:lang w:val="en-US"/>
        </w:rPr>
      </w:pPr>
      <w:r w:rsidRPr="00BA7CD4">
        <w:rPr>
          <w:rFonts w:ascii="Verdana" w:hAnsi="Verdana"/>
          <w:sz w:val="24"/>
          <w:szCs w:val="24"/>
        </w:rPr>
        <w:t>The publication of ONS House Price Statistics for Small Areas presents an opportunity for housing affordability analysis</w:t>
      </w:r>
      <w:r w:rsidRPr="00BA7CD4">
        <w:rPr>
          <w:rFonts w:ascii="Verdana" w:hAnsi="Verdana" w:cs="Helvetica"/>
          <w:sz w:val="24"/>
          <w:szCs w:val="24"/>
          <w:lang w:val="en-US"/>
        </w:rPr>
        <w:t>.</w:t>
      </w:r>
    </w:p>
    <w:p w14:paraId="75A7C3F4" w14:textId="77777777" w:rsidR="00623DB9" w:rsidRPr="00BA7CD4" w:rsidRDefault="00623DB9" w:rsidP="007C00A1">
      <w:pPr>
        <w:pStyle w:val="NoSpacing"/>
        <w:jc w:val="both"/>
        <w:rPr>
          <w:rFonts w:ascii="Verdana" w:hAnsi="Verdana" w:cs="Helvetica"/>
          <w:sz w:val="24"/>
          <w:szCs w:val="24"/>
          <w:lang w:val="en-US"/>
        </w:rPr>
      </w:pPr>
    </w:p>
    <w:p w14:paraId="40155410" w14:textId="77777777" w:rsidR="00623DB9" w:rsidRDefault="00623DB9" w:rsidP="00675D2E">
      <w:pPr>
        <w:pStyle w:val="NoSpacing"/>
        <w:jc w:val="both"/>
        <w:rPr>
          <w:rFonts w:ascii="Verdana" w:hAnsi="Verdana" w:cs="Helvetica"/>
          <w:sz w:val="24"/>
          <w:szCs w:val="24"/>
          <w:lang w:val="en-US"/>
        </w:rPr>
      </w:pPr>
      <w:r w:rsidRPr="00BA7CD4">
        <w:rPr>
          <w:rFonts w:ascii="Verdana" w:hAnsi="Verdana" w:cs="Helvetica"/>
          <w:sz w:val="24"/>
          <w:szCs w:val="24"/>
          <w:lang w:val="en-US"/>
        </w:rPr>
        <w:t>The data reveals the cost of an entry-level</w:t>
      </w:r>
      <w:r w:rsidRPr="00BA7CD4">
        <w:rPr>
          <w:rStyle w:val="FootnoteReference"/>
          <w:rFonts w:ascii="Verdana" w:hAnsi="Verdana" w:cs="Helvetica"/>
          <w:sz w:val="24"/>
          <w:szCs w:val="24"/>
          <w:lang w:val="en-US"/>
        </w:rPr>
        <w:footnoteReference w:id="2"/>
      </w:r>
      <w:r w:rsidRPr="00BA7CD4">
        <w:rPr>
          <w:rFonts w:ascii="Verdana" w:hAnsi="Verdana" w:cs="Helvetica"/>
          <w:sz w:val="24"/>
          <w:szCs w:val="24"/>
          <w:lang w:val="en-US"/>
        </w:rPr>
        <w:t xml:space="preserve"> property on average across England and Wales has increased by almost 20% in the last decade, to £140,000 (year ending June 2016). For new properties, the price was nearly £180,000. The data</w:t>
      </w:r>
      <w:r w:rsidRPr="00BA7CD4">
        <w:rPr>
          <w:rStyle w:val="FootnoteReference"/>
          <w:rFonts w:ascii="Verdana" w:hAnsi="Verdana" w:cs="Helvetica"/>
          <w:sz w:val="24"/>
          <w:szCs w:val="24"/>
          <w:lang w:val="en-US"/>
        </w:rPr>
        <w:footnoteReference w:id="3"/>
      </w:r>
      <w:r w:rsidRPr="00BA7CD4">
        <w:rPr>
          <w:rFonts w:ascii="Verdana" w:hAnsi="Verdana" w:cs="Helvetica"/>
          <w:sz w:val="24"/>
          <w:szCs w:val="24"/>
          <w:lang w:val="en-US"/>
        </w:rPr>
        <w:t xml:space="preserve"> also shows that home-ownership prospects vary across the country. </w:t>
      </w:r>
    </w:p>
    <w:p w14:paraId="0D46BD5C" w14:textId="77777777" w:rsidR="00623DB9" w:rsidRPr="00BA7CD4" w:rsidRDefault="00623DB9" w:rsidP="00675D2E">
      <w:pPr>
        <w:pStyle w:val="NoSpacing"/>
        <w:jc w:val="both"/>
        <w:rPr>
          <w:rFonts w:ascii="Verdana" w:hAnsi="Verdana" w:cs="Helvetica"/>
          <w:sz w:val="24"/>
          <w:szCs w:val="24"/>
          <w:lang w:val="en-US"/>
        </w:rPr>
      </w:pPr>
    </w:p>
    <w:p w14:paraId="6DDB3A33" w14:textId="77777777" w:rsidR="00623DB9" w:rsidRDefault="00623DB9" w:rsidP="00675D2E">
      <w:pPr>
        <w:pStyle w:val="NormalWeb"/>
        <w:spacing w:before="0" w:beforeAutospacing="0" w:after="0" w:afterAutospacing="0"/>
        <w:jc w:val="both"/>
        <w:rPr>
          <w:rFonts w:ascii="Verdana" w:hAnsi="Verdana" w:cs="Helvetica"/>
          <w:lang w:val="en-US"/>
        </w:rPr>
      </w:pPr>
      <w:r w:rsidRPr="00BA7CD4">
        <w:rPr>
          <w:rFonts w:ascii="Verdana" w:hAnsi="Verdana" w:cs="Helvetica"/>
          <w:lang w:val="en-US"/>
        </w:rPr>
        <w:t xml:space="preserve">In the </w:t>
      </w:r>
      <w:proofErr w:type="spellStart"/>
      <w:r w:rsidR="00F64A4F">
        <w:rPr>
          <w:rFonts w:ascii="Verdana" w:hAnsi="Verdana" w:cs="Helvetica"/>
          <w:lang w:val="en-US"/>
        </w:rPr>
        <w:t>Blackfordby</w:t>
      </w:r>
      <w:proofErr w:type="spellEnd"/>
      <w:r>
        <w:rPr>
          <w:rFonts w:ascii="Verdana" w:hAnsi="Verdana" w:cs="Helvetica"/>
          <w:lang w:val="en-US"/>
        </w:rPr>
        <w:t xml:space="preserve"> </w:t>
      </w:r>
      <w:r w:rsidR="00A456E9">
        <w:rPr>
          <w:rFonts w:ascii="Verdana" w:hAnsi="Verdana" w:cs="Helvetica"/>
          <w:lang w:val="en-US"/>
        </w:rPr>
        <w:t>l</w:t>
      </w:r>
      <w:r w:rsidR="00F64A4F">
        <w:rPr>
          <w:rFonts w:ascii="Verdana" w:hAnsi="Verdana" w:cs="Helvetica"/>
          <w:lang w:val="en-US"/>
        </w:rPr>
        <w:t>ocal area</w:t>
      </w:r>
      <w:r>
        <w:rPr>
          <w:rFonts w:ascii="Verdana" w:hAnsi="Verdana" w:cs="Helvetica"/>
          <w:lang w:val="en-US"/>
        </w:rPr>
        <w:t xml:space="preserve"> </w:t>
      </w:r>
      <w:proofErr w:type="spellStart"/>
      <w:r>
        <w:rPr>
          <w:rFonts w:ascii="Verdana" w:hAnsi="Verdana" w:cs="Helvetica"/>
          <w:lang w:val="en-US"/>
        </w:rPr>
        <w:t>area</w:t>
      </w:r>
      <w:proofErr w:type="spellEnd"/>
      <w:r w:rsidRPr="00BA7CD4">
        <w:rPr>
          <w:rStyle w:val="FootnoteReference"/>
          <w:rFonts w:ascii="Verdana" w:hAnsi="Verdana" w:cs="Helvetica"/>
          <w:lang w:val="en-US"/>
        </w:rPr>
        <w:footnoteReference w:id="4"/>
      </w:r>
      <w:r w:rsidRPr="00BA7CD4">
        <w:rPr>
          <w:rFonts w:ascii="Verdana" w:hAnsi="Verdana" w:cs="Helvetica"/>
          <w:lang w:val="en-US"/>
        </w:rPr>
        <w:t xml:space="preserve"> a low to mid-priced property costs</w:t>
      </w:r>
      <w:r>
        <w:rPr>
          <w:rFonts w:ascii="Verdana" w:hAnsi="Verdana" w:cs="Helvetica"/>
          <w:lang w:val="en-US"/>
        </w:rPr>
        <w:t xml:space="preserve"> on average £</w:t>
      </w:r>
      <w:r w:rsidR="00D37B6D">
        <w:rPr>
          <w:rFonts w:ascii="Verdana" w:hAnsi="Verdana" w:cs="Helvetica"/>
          <w:lang w:val="en-US"/>
        </w:rPr>
        <w:t>1</w:t>
      </w:r>
      <w:r w:rsidR="00A456E9">
        <w:rPr>
          <w:rFonts w:ascii="Verdana" w:hAnsi="Verdana" w:cs="Helvetica"/>
          <w:lang w:val="en-US"/>
        </w:rPr>
        <w:t xml:space="preserve">35,950 </w:t>
      </w:r>
      <w:r w:rsidRPr="00BA7CD4">
        <w:rPr>
          <w:rFonts w:ascii="Verdana" w:hAnsi="Verdana" w:cs="Helvetica"/>
          <w:lang w:val="en-US"/>
        </w:rPr>
        <w:t xml:space="preserve">which is </w:t>
      </w:r>
      <w:r w:rsidR="00D37B6D">
        <w:rPr>
          <w:rFonts w:ascii="Verdana" w:hAnsi="Verdana" w:cs="Helvetica"/>
          <w:lang w:val="en-US"/>
        </w:rPr>
        <w:t>lower</w:t>
      </w:r>
      <w:r w:rsidRPr="00BA7CD4">
        <w:rPr>
          <w:rFonts w:ascii="Verdana" w:hAnsi="Verdana" w:cs="Helvetica"/>
          <w:lang w:val="en-US"/>
        </w:rPr>
        <w:t xml:space="preserve"> than the national average</w:t>
      </w:r>
      <w:r w:rsidR="00DB141E">
        <w:rPr>
          <w:rFonts w:ascii="Verdana" w:hAnsi="Verdana" w:cs="Helvetica"/>
          <w:lang w:val="en-US"/>
        </w:rPr>
        <w:t xml:space="preserve">. </w:t>
      </w:r>
      <w:r w:rsidRPr="00BA7CD4">
        <w:rPr>
          <w:rFonts w:ascii="Verdana" w:hAnsi="Verdana" w:cs="Helvetica"/>
          <w:lang w:val="en-US"/>
        </w:rPr>
        <w:t>Assuming a 15% deposit</w:t>
      </w:r>
      <w:r w:rsidRPr="00BA7CD4">
        <w:rPr>
          <w:rStyle w:val="FootnoteReference"/>
          <w:rFonts w:ascii="Verdana" w:hAnsi="Verdana" w:cs="Helvetica"/>
          <w:lang w:val="en-US"/>
        </w:rPr>
        <w:footnoteReference w:id="5"/>
      </w:r>
      <w:r w:rsidRPr="00BA7CD4">
        <w:rPr>
          <w:rFonts w:ascii="Verdana" w:hAnsi="Verdana" w:cs="Helvetica"/>
          <w:lang w:val="en-US"/>
        </w:rPr>
        <w:t>, those entering the property market in the area would require a household income of £</w:t>
      </w:r>
      <w:r w:rsidR="00A456E9">
        <w:rPr>
          <w:rFonts w:ascii="Verdana" w:hAnsi="Verdana" w:cs="Helvetica"/>
          <w:lang w:val="en-US"/>
        </w:rPr>
        <w:t>25,679</w:t>
      </w:r>
      <w:r>
        <w:rPr>
          <w:rFonts w:ascii="Verdana" w:hAnsi="Verdana" w:cs="Helvetica"/>
          <w:lang w:val="en-US"/>
        </w:rPr>
        <w:t xml:space="preserve"> (£26,444 E&amp;W average)</w:t>
      </w:r>
      <w:r w:rsidRPr="00BA7CD4">
        <w:rPr>
          <w:rFonts w:ascii="Verdana" w:hAnsi="Verdana" w:cs="Helvetica"/>
          <w:lang w:val="en-US"/>
        </w:rPr>
        <w:t xml:space="preserve"> and savings of £</w:t>
      </w:r>
      <w:r w:rsidR="00A456E9">
        <w:rPr>
          <w:rFonts w:ascii="Verdana" w:hAnsi="Verdana" w:cs="Helvetica"/>
          <w:lang w:val="en-US"/>
        </w:rPr>
        <w:t>22,612</w:t>
      </w:r>
      <w:r w:rsidRPr="00BA7CD4">
        <w:rPr>
          <w:rFonts w:ascii="Verdana" w:hAnsi="Verdana" w:cs="Helvetica"/>
          <w:lang w:val="en-US"/>
        </w:rPr>
        <w:t>.</w:t>
      </w:r>
    </w:p>
    <w:p w14:paraId="0E54B72F" w14:textId="77777777" w:rsidR="00623DB9" w:rsidRPr="00BA7CD4" w:rsidRDefault="00623DB9" w:rsidP="00675D2E">
      <w:pPr>
        <w:pStyle w:val="NoSpacing"/>
        <w:jc w:val="both"/>
        <w:rPr>
          <w:rFonts w:ascii="Verdana" w:hAnsi="Verdana" w:cs="Helvetica"/>
          <w:sz w:val="24"/>
          <w:szCs w:val="24"/>
          <w:lang w:val="en-US"/>
        </w:rPr>
      </w:pPr>
    </w:p>
    <w:p w14:paraId="630434E7" w14:textId="77777777" w:rsidR="005C6572" w:rsidRPr="00C3226D" w:rsidRDefault="00DB141E" w:rsidP="00C3226D">
      <w:pPr>
        <w:jc w:val="both"/>
        <w:rPr>
          <w:rFonts w:ascii="Verdana" w:hAnsi="Verdana" w:cs="Helvetica"/>
          <w:sz w:val="24"/>
          <w:szCs w:val="24"/>
          <w:lang w:val="en-US"/>
        </w:rPr>
      </w:pPr>
      <w:r>
        <w:rPr>
          <w:rFonts w:ascii="Verdana" w:hAnsi="Verdana" w:cs="Helvetica"/>
          <w:sz w:val="24"/>
          <w:szCs w:val="24"/>
          <w:lang w:val="en-US"/>
        </w:rPr>
        <w:t>P</w:t>
      </w:r>
      <w:r w:rsidR="00623DB9" w:rsidRPr="00BA7CD4">
        <w:rPr>
          <w:rFonts w:ascii="Verdana" w:hAnsi="Verdana" w:cs="Helvetica"/>
          <w:sz w:val="24"/>
          <w:szCs w:val="24"/>
          <w:lang w:val="en-US"/>
        </w:rPr>
        <w:t xml:space="preserve">rospective buyers </w:t>
      </w:r>
      <w:r w:rsidR="00623DB9">
        <w:rPr>
          <w:rFonts w:ascii="Verdana" w:hAnsi="Verdana" w:cs="Helvetica"/>
          <w:sz w:val="24"/>
          <w:szCs w:val="24"/>
          <w:lang w:val="en-US"/>
        </w:rPr>
        <w:t xml:space="preserve">would require </w:t>
      </w:r>
      <w:r w:rsidR="00623DB9" w:rsidRPr="00BA7CD4">
        <w:rPr>
          <w:rFonts w:ascii="Verdana" w:hAnsi="Verdana" w:cs="Helvetica"/>
          <w:sz w:val="24"/>
          <w:szCs w:val="24"/>
          <w:lang w:val="en-US"/>
        </w:rPr>
        <w:t>an estimated £</w:t>
      </w:r>
      <w:r w:rsidR="00623DB9">
        <w:rPr>
          <w:rFonts w:ascii="Verdana" w:hAnsi="Verdana" w:cs="Helvetica"/>
          <w:sz w:val="24"/>
          <w:szCs w:val="24"/>
          <w:lang w:val="en-US"/>
        </w:rPr>
        <w:t>2,000</w:t>
      </w:r>
      <w:r w:rsidR="00623DB9" w:rsidRPr="00BA7CD4">
        <w:rPr>
          <w:rFonts w:ascii="Verdana" w:hAnsi="Verdana" w:cs="Helvetica"/>
          <w:sz w:val="24"/>
          <w:szCs w:val="24"/>
          <w:lang w:val="en-US"/>
        </w:rPr>
        <w:t xml:space="preserve"> for legal and moving costs and £</w:t>
      </w:r>
      <w:r w:rsidR="008E1D93">
        <w:rPr>
          <w:rFonts w:ascii="Verdana" w:hAnsi="Verdana" w:cs="Helvetica"/>
          <w:sz w:val="24"/>
          <w:szCs w:val="24"/>
          <w:lang w:val="en-US"/>
        </w:rPr>
        <w:t>20,392</w:t>
      </w:r>
      <w:r w:rsidR="00623DB9" w:rsidRPr="004044E9">
        <w:rPr>
          <w:rFonts w:ascii="Verdana" w:hAnsi="Verdana" w:cs="Helvetica"/>
          <w:sz w:val="24"/>
          <w:szCs w:val="24"/>
          <w:lang w:val="en-US"/>
        </w:rPr>
        <w:t xml:space="preserve"> </w:t>
      </w:r>
      <w:r w:rsidR="00623DB9" w:rsidRPr="00BA7CD4">
        <w:rPr>
          <w:rFonts w:ascii="Verdana" w:hAnsi="Verdana" w:cs="Helvetica"/>
          <w:sz w:val="24"/>
          <w:szCs w:val="24"/>
          <w:lang w:val="en-US"/>
        </w:rPr>
        <w:t xml:space="preserve">for a 15% deposit, </w:t>
      </w:r>
      <w:r w:rsidR="008E1D93">
        <w:rPr>
          <w:rFonts w:ascii="Verdana" w:hAnsi="Verdana" w:cs="Helvetica"/>
          <w:sz w:val="24"/>
          <w:szCs w:val="24"/>
          <w:lang w:val="en-US"/>
        </w:rPr>
        <w:t xml:space="preserve">£219 for stamp duty </w:t>
      </w:r>
      <w:r w:rsidR="00623DB9" w:rsidRPr="00BA7CD4">
        <w:rPr>
          <w:rFonts w:ascii="Verdana" w:hAnsi="Verdana" w:cs="Helvetica"/>
          <w:sz w:val="24"/>
          <w:szCs w:val="24"/>
          <w:lang w:val="en-US"/>
        </w:rPr>
        <w:t>coming to £</w:t>
      </w:r>
      <w:r w:rsidR="008E1D93">
        <w:rPr>
          <w:rFonts w:ascii="Verdana" w:hAnsi="Verdana" w:cs="Helvetica"/>
          <w:sz w:val="24"/>
          <w:szCs w:val="24"/>
          <w:lang w:val="en-US"/>
        </w:rPr>
        <w:t>22,612</w:t>
      </w:r>
      <w:r w:rsidR="00623DB9" w:rsidRPr="00BA7CD4">
        <w:rPr>
          <w:rFonts w:ascii="Verdana" w:hAnsi="Verdana" w:cs="Helvetica"/>
          <w:sz w:val="24"/>
          <w:szCs w:val="24"/>
          <w:lang w:val="en-US"/>
        </w:rPr>
        <w:t xml:space="preserve"> in total</w:t>
      </w:r>
      <w:r w:rsidR="000D506A">
        <w:rPr>
          <w:rFonts w:ascii="Verdana" w:hAnsi="Verdana" w:cs="Helvetica"/>
          <w:sz w:val="24"/>
          <w:szCs w:val="24"/>
          <w:lang w:val="en-US"/>
        </w:rPr>
        <w:t xml:space="preserve"> </w:t>
      </w:r>
      <w:r w:rsidR="000D506A" w:rsidRPr="00BA7CD4">
        <w:rPr>
          <w:rFonts w:ascii="Verdana" w:hAnsi="Verdana" w:cs="Helvetica"/>
          <w:sz w:val="24"/>
          <w:szCs w:val="24"/>
          <w:lang w:val="en-US"/>
        </w:rPr>
        <w:t xml:space="preserve">which is a challenge for many </w:t>
      </w:r>
      <w:r w:rsidR="00A35409">
        <w:rPr>
          <w:rFonts w:ascii="Verdana" w:hAnsi="Verdana" w:cs="Helvetica"/>
          <w:sz w:val="24"/>
          <w:szCs w:val="24"/>
          <w:lang w:val="en-US"/>
        </w:rPr>
        <w:t>entry level</w:t>
      </w:r>
      <w:r w:rsidR="00C00C0E">
        <w:rPr>
          <w:rFonts w:ascii="Verdana" w:hAnsi="Verdana" w:cs="Helvetica"/>
          <w:sz w:val="24"/>
          <w:szCs w:val="24"/>
          <w:lang w:val="en-US"/>
        </w:rPr>
        <w:t xml:space="preserve"> </w:t>
      </w:r>
      <w:r w:rsidR="000D506A" w:rsidRPr="00BA7CD4">
        <w:rPr>
          <w:rFonts w:ascii="Verdana" w:hAnsi="Verdana" w:cs="Helvetica"/>
          <w:sz w:val="24"/>
          <w:szCs w:val="24"/>
          <w:lang w:val="en-US"/>
        </w:rPr>
        <w:t>households</w:t>
      </w:r>
      <w:r w:rsidR="00623DB9" w:rsidRPr="00BA7CD4">
        <w:rPr>
          <w:rFonts w:ascii="Verdana" w:hAnsi="Verdana" w:cs="Helvetica"/>
          <w:sz w:val="24"/>
          <w:szCs w:val="24"/>
          <w:lang w:val="en-US"/>
        </w:rPr>
        <w:t>.</w:t>
      </w:r>
    </w:p>
    <w:p w14:paraId="336E6FEA" w14:textId="77777777" w:rsidR="00FE57A2" w:rsidRPr="0008457C" w:rsidRDefault="008B55B1" w:rsidP="00C3226D">
      <w:pPr>
        <w:rPr>
          <w:rFonts w:ascii="Verdana" w:hAnsi="Verdana" w:cs="Arial"/>
          <w:b/>
          <w:sz w:val="24"/>
          <w:szCs w:val="24"/>
        </w:rPr>
      </w:pPr>
      <w:r w:rsidRPr="0008457C">
        <w:rPr>
          <w:rFonts w:ascii="Verdana" w:hAnsi="Verdana" w:cs="Arial"/>
          <w:b/>
          <w:sz w:val="24"/>
          <w:szCs w:val="24"/>
        </w:rPr>
        <w:t>Summary</w:t>
      </w:r>
      <w:r w:rsidR="003D1B6E" w:rsidRPr="0008457C">
        <w:rPr>
          <w:rFonts w:ascii="Verdana" w:hAnsi="Verdana" w:cs="Arial"/>
          <w:b/>
          <w:sz w:val="24"/>
          <w:szCs w:val="24"/>
        </w:rPr>
        <w:t xml:space="preserve"> </w:t>
      </w:r>
      <w:r w:rsidRPr="0008457C">
        <w:rPr>
          <w:rFonts w:ascii="Verdana" w:hAnsi="Verdana" w:cs="Arial"/>
          <w:b/>
          <w:sz w:val="24"/>
          <w:szCs w:val="24"/>
        </w:rPr>
        <w:t>of</w:t>
      </w:r>
      <w:r w:rsidR="003D1B6E" w:rsidRPr="0008457C">
        <w:rPr>
          <w:rFonts w:ascii="Verdana" w:hAnsi="Verdana" w:cs="Arial"/>
          <w:b/>
          <w:sz w:val="24"/>
          <w:szCs w:val="24"/>
        </w:rPr>
        <w:t xml:space="preserve"> </w:t>
      </w:r>
      <w:r w:rsidRPr="0008457C">
        <w:rPr>
          <w:rFonts w:ascii="Verdana" w:hAnsi="Verdana" w:cs="Arial"/>
          <w:b/>
          <w:sz w:val="24"/>
          <w:szCs w:val="24"/>
        </w:rPr>
        <w:t>Future</w:t>
      </w:r>
      <w:r w:rsidR="003D1B6E" w:rsidRPr="0008457C">
        <w:rPr>
          <w:rFonts w:ascii="Verdana" w:hAnsi="Verdana" w:cs="Arial"/>
          <w:b/>
          <w:sz w:val="24"/>
          <w:szCs w:val="24"/>
        </w:rPr>
        <w:t xml:space="preserve"> </w:t>
      </w:r>
      <w:r w:rsidRPr="0008457C">
        <w:rPr>
          <w:rFonts w:ascii="Verdana" w:hAnsi="Verdana" w:cs="Arial"/>
          <w:b/>
          <w:sz w:val="24"/>
          <w:szCs w:val="24"/>
        </w:rPr>
        <w:t>Housing</w:t>
      </w:r>
      <w:r w:rsidR="003D1B6E" w:rsidRPr="0008457C">
        <w:rPr>
          <w:rFonts w:ascii="Verdana" w:hAnsi="Verdana" w:cs="Arial"/>
          <w:b/>
          <w:sz w:val="24"/>
          <w:szCs w:val="24"/>
        </w:rPr>
        <w:t xml:space="preserve"> </w:t>
      </w:r>
      <w:r w:rsidRPr="0008457C">
        <w:rPr>
          <w:rFonts w:ascii="Verdana" w:hAnsi="Verdana" w:cs="Arial"/>
          <w:b/>
          <w:sz w:val="24"/>
          <w:szCs w:val="24"/>
        </w:rPr>
        <w:t>Need</w:t>
      </w:r>
    </w:p>
    <w:p w14:paraId="2EC8305C" w14:textId="77777777" w:rsidR="00DF45BD" w:rsidRDefault="00DF45BD" w:rsidP="00DF45BD">
      <w:pPr>
        <w:pStyle w:val="NoSpacing"/>
        <w:spacing w:before="120"/>
        <w:jc w:val="both"/>
        <w:rPr>
          <w:rFonts w:ascii="Verdana" w:hAnsi="Verdana" w:cs="Arial"/>
          <w:sz w:val="24"/>
          <w:szCs w:val="24"/>
        </w:rPr>
      </w:pPr>
      <w:r w:rsidRPr="0008457C">
        <w:rPr>
          <w:rFonts w:ascii="Verdana" w:hAnsi="Verdana" w:cs="Arial"/>
          <w:sz w:val="24"/>
          <w:szCs w:val="24"/>
        </w:rPr>
        <w:t>At</w:t>
      </w:r>
      <w:r w:rsidR="00657A55" w:rsidRPr="0008457C">
        <w:rPr>
          <w:rFonts w:ascii="Verdana" w:hAnsi="Verdana" w:cs="Arial"/>
          <w:sz w:val="24"/>
          <w:szCs w:val="24"/>
        </w:rPr>
        <w:t xml:space="preserve"> the time of the 2011 Census</w:t>
      </w:r>
      <w:r w:rsidRPr="0008457C">
        <w:rPr>
          <w:rFonts w:ascii="Verdana" w:hAnsi="Verdana" w:cs="Arial"/>
          <w:sz w:val="24"/>
          <w:szCs w:val="24"/>
        </w:rPr>
        <w:t xml:space="preserve">, </w:t>
      </w:r>
      <w:r w:rsidR="00F64A4F">
        <w:rPr>
          <w:rFonts w:ascii="Verdana" w:hAnsi="Verdana" w:cs="Arial"/>
          <w:sz w:val="24"/>
          <w:szCs w:val="24"/>
        </w:rPr>
        <w:t>Blackfordby</w:t>
      </w:r>
      <w:r w:rsidR="00657A55" w:rsidRPr="0008457C">
        <w:rPr>
          <w:rFonts w:ascii="Verdana" w:hAnsi="Verdana" w:cs="Arial"/>
          <w:sz w:val="24"/>
          <w:szCs w:val="24"/>
        </w:rPr>
        <w:t xml:space="preserve"> was home to </w:t>
      </w:r>
      <w:r w:rsidR="000C5D0A" w:rsidRPr="0008457C">
        <w:rPr>
          <w:rFonts w:ascii="Verdana" w:hAnsi="Verdana" w:cs="Arial"/>
          <w:sz w:val="24"/>
          <w:szCs w:val="24"/>
        </w:rPr>
        <w:t xml:space="preserve">around </w:t>
      </w:r>
      <w:r w:rsidR="00B72214">
        <w:rPr>
          <w:rFonts w:ascii="Verdana" w:hAnsi="Verdana" w:cs="Arial"/>
          <w:sz w:val="24"/>
          <w:szCs w:val="24"/>
        </w:rPr>
        <w:t>1,</w:t>
      </w:r>
      <w:r w:rsidR="00C94ED1">
        <w:rPr>
          <w:rFonts w:ascii="Verdana" w:hAnsi="Verdana" w:cs="Arial"/>
          <w:sz w:val="24"/>
          <w:szCs w:val="24"/>
        </w:rPr>
        <w:t xml:space="preserve">450 </w:t>
      </w:r>
      <w:r w:rsidR="00F95176" w:rsidRPr="0008457C">
        <w:rPr>
          <w:rFonts w:ascii="Verdana" w:hAnsi="Verdana" w:cs="Arial"/>
          <w:sz w:val="24"/>
          <w:szCs w:val="24"/>
        </w:rPr>
        <w:t xml:space="preserve">residents living in </w:t>
      </w:r>
      <w:r w:rsidR="00C94ED1">
        <w:rPr>
          <w:rFonts w:ascii="Verdana" w:hAnsi="Verdana" w:cs="Arial"/>
          <w:sz w:val="24"/>
          <w:szCs w:val="24"/>
        </w:rPr>
        <w:t>650</w:t>
      </w:r>
      <w:r w:rsidR="00B76593">
        <w:rPr>
          <w:rFonts w:ascii="Verdana" w:hAnsi="Verdana" w:cs="Arial"/>
          <w:sz w:val="24"/>
          <w:szCs w:val="24"/>
        </w:rPr>
        <w:t xml:space="preserve"> </w:t>
      </w:r>
      <w:r w:rsidR="00657A55" w:rsidRPr="0008457C">
        <w:rPr>
          <w:rFonts w:ascii="Verdana" w:hAnsi="Verdana" w:cs="Arial"/>
          <w:sz w:val="24"/>
          <w:szCs w:val="24"/>
        </w:rPr>
        <w:t xml:space="preserve">households. </w:t>
      </w:r>
      <w:r w:rsidR="000868FB" w:rsidRPr="0008457C">
        <w:rPr>
          <w:rFonts w:ascii="Verdana" w:hAnsi="Verdana" w:cs="Arial"/>
          <w:sz w:val="24"/>
          <w:szCs w:val="24"/>
        </w:rPr>
        <w:t>Analysis</w:t>
      </w:r>
      <w:r w:rsidR="003D1B6E" w:rsidRPr="0008457C">
        <w:rPr>
          <w:rFonts w:ascii="Verdana" w:hAnsi="Verdana" w:cs="Arial"/>
          <w:sz w:val="24"/>
          <w:szCs w:val="24"/>
        </w:rPr>
        <w:t xml:space="preserve"> </w:t>
      </w:r>
      <w:r w:rsidR="000868FB" w:rsidRPr="0008457C">
        <w:rPr>
          <w:rFonts w:ascii="Verdana" w:hAnsi="Verdana" w:cs="Arial"/>
          <w:sz w:val="24"/>
          <w:szCs w:val="24"/>
        </w:rPr>
        <w:t>of</w:t>
      </w:r>
      <w:r w:rsidR="003D1B6E" w:rsidRPr="0008457C">
        <w:rPr>
          <w:rFonts w:ascii="Verdana" w:hAnsi="Verdana" w:cs="Arial"/>
          <w:sz w:val="24"/>
          <w:szCs w:val="24"/>
        </w:rPr>
        <w:t xml:space="preserve"> </w:t>
      </w:r>
      <w:r w:rsidR="000868FB" w:rsidRPr="0008457C">
        <w:rPr>
          <w:rFonts w:ascii="Verdana" w:hAnsi="Verdana" w:cs="Arial"/>
          <w:sz w:val="24"/>
          <w:szCs w:val="24"/>
        </w:rPr>
        <w:t>the</w:t>
      </w:r>
      <w:r w:rsidR="003D1B6E" w:rsidRPr="0008457C">
        <w:rPr>
          <w:rFonts w:ascii="Verdana" w:hAnsi="Verdana" w:cs="Arial"/>
          <w:sz w:val="24"/>
          <w:szCs w:val="24"/>
        </w:rPr>
        <w:t xml:space="preserve"> </w:t>
      </w:r>
      <w:r w:rsidR="000868FB" w:rsidRPr="0008457C">
        <w:rPr>
          <w:rFonts w:ascii="Verdana" w:hAnsi="Verdana" w:cs="Arial"/>
          <w:sz w:val="24"/>
          <w:szCs w:val="24"/>
        </w:rPr>
        <w:t>Census</w:t>
      </w:r>
      <w:r w:rsidR="003D1B6E" w:rsidRPr="0008457C">
        <w:rPr>
          <w:rFonts w:ascii="Verdana" w:hAnsi="Verdana" w:cs="Arial"/>
          <w:sz w:val="24"/>
          <w:szCs w:val="24"/>
        </w:rPr>
        <w:t xml:space="preserve"> </w:t>
      </w:r>
      <w:r w:rsidR="009E2D66" w:rsidRPr="0008457C">
        <w:rPr>
          <w:rFonts w:ascii="Verdana" w:hAnsi="Verdana" w:cs="Arial"/>
          <w:sz w:val="24"/>
          <w:szCs w:val="24"/>
        </w:rPr>
        <w:t>s</w:t>
      </w:r>
      <w:r w:rsidRPr="0008457C">
        <w:rPr>
          <w:rFonts w:ascii="Verdana" w:hAnsi="Verdana" w:cs="Arial"/>
          <w:sz w:val="24"/>
          <w:szCs w:val="24"/>
        </w:rPr>
        <w:t>uggests</w:t>
      </w:r>
      <w:r w:rsidR="009E2D66" w:rsidRPr="0008457C">
        <w:rPr>
          <w:rFonts w:ascii="Verdana" w:hAnsi="Verdana" w:cs="Arial"/>
          <w:sz w:val="24"/>
          <w:szCs w:val="24"/>
        </w:rPr>
        <w:t xml:space="preserve"> that</w:t>
      </w:r>
      <w:r w:rsidR="00762FC2" w:rsidRPr="0008457C">
        <w:rPr>
          <w:rFonts w:ascii="Verdana" w:hAnsi="Verdana" w:cs="Arial"/>
          <w:sz w:val="24"/>
          <w:szCs w:val="24"/>
        </w:rPr>
        <w:t xml:space="preserve"> between 2001 and 2011</w:t>
      </w:r>
      <w:r w:rsidR="009E2D66" w:rsidRPr="0008457C">
        <w:rPr>
          <w:rFonts w:ascii="Verdana" w:hAnsi="Verdana" w:cs="Arial"/>
          <w:sz w:val="24"/>
          <w:szCs w:val="24"/>
        </w:rPr>
        <w:t xml:space="preserve"> the </w:t>
      </w:r>
      <w:r w:rsidR="00F64A4F">
        <w:rPr>
          <w:rFonts w:ascii="Verdana" w:hAnsi="Verdana" w:cs="Arial"/>
          <w:sz w:val="24"/>
          <w:szCs w:val="24"/>
        </w:rPr>
        <w:t>local area</w:t>
      </w:r>
      <w:r w:rsidR="009E2D66" w:rsidRPr="0008457C">
        <w:rPr>
          <w:rFonts w:ascii="Verdana" w:hAnsi="Verdana" w:cs="Arial"/>
          <w:sz w:val="24"/>
          <w:szCs w:val="24"/>
        </w:rPr>
        <w:t xml:space="preserve"> population </w:t>
      </w:r>
      <w:r w:rsidR="00C94ED1">
        <w:rPr>
          <w:rFonts w:ascii="Verdana" w:hAnsi="Verdana" w:cs="Arial"/>
          <w:sz w:val="24"/>
          <w:szCs w:val="24"/>
        </w:rPr>
        <w:t>de</w:t>
      </w:r>
      <w:r w:rsidR="00D35848">
        <w:rPr>
          <w:rFonts w:ascii="Verdana" w:hAnsi="Verdana" w:cs="Arial"/>
          <w:sz w:val="24"/>
          <w:szCs w:val="24"/>
        </w:rPr>
        <w:t>creased</w:t>
      </w:r>
      <w:r w:rsidR="009E2D66" w:rsidRPr="0008457C">
        <w:rPr>
          <w:rFonts w:ascii="Verdana" w:hAnsi="Verdana" w:cs="Arial"/>
          <w:sz w:val="24"/>
          <w:szCs w:val="24"/>
        </w:rPr>
        <w:t xml:space="preserve"> by </w:t>
      </w:r>
      <w:r w:rsidR="00F61DEA" w:rsidRPr="0008457C">
        <w:rPr>
          <w:rFonts w:ascii="Verdana" w:hAnsi="Verdana" w:cs="Arial"/>
          <w:sz w:val="24"/>
          <w:szCs w:val="24"/>
        </w:rPr>
        <w:t xml:space="preserve">around </w:t>
      </w:r>
      <w:r w:rsidR="00B76593">
        <w:rPr>
          <w:rFonts w:ascii="Verdana" w:hAnsi="Verdana" w:cs="Arial"/>
          <w:sz w:val="24"/>
          <w:szCs w:val="24"/>
        </w:rPr>
        <w:t>4</w:t>
      </w:r>
      <w:r w:rsidR="009E2D66" w:rsidRPr="0008457C">
        <w:rPr>
          <w:rFonts w:ascii="Verdana" w:hAnsi="Verdana" w:cs="Arial"/>
          <w:sz w:val="24"/>
          <w:szCs w:val="24"/>
        </w:rPr>
        <w:t>%</w:t>
      </w:r>
      <w:r w:rsidR="00F21259" w:rsidRPr="0008457C">
        <w:rPr>
          <w:rFonts w:ascii="Verdana" w:hAnsi="Verdana" w:cs="Arial"/>
          <w:sz w:val="24"/>
          <w:szCs w:val="24"/>
        </w:rPr>
        <w:t xml:space="preserve"> (</w:t>
      </w:r>
      <w:r w:rsidR="00C94ED1">
        <w:rPr>
          <w:rFonts w:ascii="Verdana" w:hAnsi="Verdana" w:cs="Arial"/>
          <w:sz w:val="24"/>
          <w:szCs w:val="24"/>
        </w:rPr>
        <w:t>57</w:t>
      </w:r>
      <w:r w:rsidR="00F21259" w:rsidRPr="0008457C">
        <w:rPr>
          <w:rFonts w:ascii="Verdana" w:hAnsi="Verdana" w:cs="Arial"/>
          <w:sz w:val="24"/>
          <w:szCs w:val="24"/>
        </w:rPr>
        <w:t xml:space="preserve"> people)</w:t>
      </w:r>
      <w:r w:rsidR="00656840" w:rsidRPr="0008457C">
        <w:rPr>
          <w:rFonts w:ascii="Verdana" w:hAnsi="Verdana" w:cs="Arial"/>
          <w:sz w:val="24"/>
          <w:szCs w:val="24"/>
        </w:rPr>
        <w:t>. During this period</w:t>
      </w:r>
      <w:r w:rsidR="008A630A">
        <w:rPr>
          <w:rFonts w:ascii="Verdana" w:hAnsi="Verdana" w:cs="Arial"/>
          <w:sz w:val="24"/>
          <w:szCs w:val="24"/>
        </w:rPr>
        <w:t>,</w:t>
      </w:r>
      <w:r w:rsidR="00656840" w:rsidRPr="0008457C">
        <w:rPr>
          <w:rFonts w:ascii="Verdana" w:hAnsi="Verdana" w:cs="Arial"/>
          <w:sz w:val="24"/>
          <w:szCs w:val="24"/>
        </w:rPr>
        <w:t xml:space="preserve"> </w:t>
      </w:r>
      <w:r w:rsidR="009E2D66" w:rsidRPr="0008457C">
        <w:rPr>
          <w:rFonts w:ascii="Verdana" w:hAnsi="Verdana" w:cs="Arial"/>
          <w:sz w:val="24"/>
          <w:szCs w:val="24"/>
        </w:rPr>
        <w:t xml:space="preserve">the number of </w:t>
      </w:r>
      <w:r w:rsidRPr="0008457C">
        <w:rPr>
          <w:rFonts w:ascii="Verdana" w:hAnsi="Verdana" w:cs="Arial"/>
          <w:sz w:val="24"/>
          <w:szCs w:val="24"/>
        </w:rPr>
        <w:t>dwellings</w:t>
      </w:r>
      <w:r w:rsidR="007953D6" w:rsidRPr="0008457C">
        <w:rPr>
          <w:rFonts w:ascii="Verdana" w:hAnsi="Verdana" w:cs="Arial"/>
          <w:sz w:val="24"/>
          <w:szCs w:val="24"/>
        </w:rPr>
        <w:t xml:space="preserve"> </w:t>
      </w:r>
      <w:r w:rsidRPr="0008457C">
        <w:rPr>
          <w:rFonts w:ascii="Verdana" w:hAnsi="Verdana" w:cs="Arial"/>
          <w:sz w:val="24"/>
          <w:szCs w:val="24"/>
        </w:rPr>
        <w:t>rose</w:t>
      </w:r>
      <w:r w:rsidR="00656840" w:rsidRPr="0008457C">
        <w:rPr>
          <w:rFonts w:ascii="Verdana" w:hAnsi="Verdana" w:cs="Arial"/>
          <w:sz w:val="24"/>
          <w:szCs w:val="24"/>
        </w:rPr>
        <w:t xml:space="preserve"> by </w:t>
      </w:r>
      <w:r w:rsidR="00B72214">
        <w:rPr>
          <w:rFonts w:ascii="Verdana" w:hAnsi="Verdana" w:cs="Arial"/>
          <w:sz w:val="24"/>
          <w:szCs w:val="24"/>
        </w:rPr>
        <w:t>1</w:t>
      </w:r>
      <w:r w:rsidR="00656840" w:rsidRPr="0008457C">
        <w:rPr>
          <w:rFonts w:ascii="Verdana" w:hAnsi="Verdana" w:cs="Arial"/>
          <w:sz w:val="24"/>
          <w:szCs w:val="24"/>
        </w:rPr>
        <w:t>% (</w:t>
      </w:r>
      <w:r w:rsidR="00C94ED1">
        <w:rPr>
          <w:rFonts w:ascii="Verdana" w:hAnsi="Verdana" w:cs="Arial"/>
          <w:sz w:val="24"/>
          <w:szCs w:val="24"/>
        </w:rPr>
        <w:t>7</w:t>
      </w:r>
      <w:r w:rsidRPr="0008457C">
        <w:rPr>
          <w:rFonts w:ascii="Verdana" w:hAnsi="Verdana" w:cs="Arial"/>
          <w:sz w:val="24"/>
          <w:szCs w:val="24"/>
        </w:rPr>
        <w:t>).</w:t>
      </w:r>
      <w:r w:rsidR="009E2D66" w:rsidRPr="0008457C">
        <w:rPr>
          <w:rFonts w:ascii="Verdana" w:hAnsi="Verdana" w:cs="Arial"/>
          <w:sz w:val="24"/>
          <w:szCs w:val="24"/>
        </w:rPr>
        <w:t xml:space="preserve"> </w:t>
      </w:r>
    </w:p>
    <w:p w14:paraId="50F416C8" w14:textId="77777777" w:rsidR="0056566D" w:rsidRDefault="0056566D" w:rsidP="0056566D">
      <w:pPr>
        <w:pStyle w:val="NoSpacing"/>
        <w:jc w:val="both"/>
        <w:rPr>
          <w:rFonts w:ascii="Verdana" w:hAnsi="Verdana" w:cs="Arial"/>
          <w:sz w:val="24"/>
          <w:szCs w:val="24"/>
        </w:rPr>
      </w:pPr>
    </w:p>
    <w:p w14:paraId="3F1ADCEF" w14:textId="77777777" w:rsidR="009E2D66" w:rsidRDefault="00B72214" w:rsidP="0056566D">
      <w:pPr>
        <w:pStyle w:val="NoSpacing"/>
        <w:jc w:val="both"/>
        <w:rPr>
          <w:rFonts w:ascii="Verdana" w:hAnsi="Verdana" w:cs="Arial"/>
          <w:sz w:val="24"/>
          <w:szCs w:val="24"/>
        </w:rPr>
      </w:pPr>
      <w:r>
        <w:rPr>
          <w:rFonts w:ascii="Verdana" w:hAnsi="Verdana" w:cs="Arial"/>
          <w:sz w:val="24"/>
          <w:szCs w:val="24"/>
        </w:rPr>
        <w:t>T</w:t>
      </w:r>
      <w:r w:rsidR="00B76593">
        <w:rPr>
          <w:rFonts w:ascii="Verdana" w:hAnsi="Verdana" w:cs="Arial"/>
          <w:sz w:val="24"/>
          <w:szCs w:val="24"/>
        </w:rPr>
        <w:t xml:space="preserve">here </w:t>
      </w:r>
      <w:r w:rsidR="008A630A">
        <w:rPr>
          <w:rFonts w:ascii="Verdana" w:hAnsi="Verdana" w:cs="Arial"/>
          <w:sz w:val="24"/>
          <w:szCs w:val="24"/>
        </w:rPr>
        <w:t>is evidence</w:t>
      </w:r>
      <w:r w:rsidR="00C94ED1">
        <w:rPr>
          <w:rFonts w:ascii="Verdana" w:hAnsi="Verdana" w:cs="Arial"/>
          <w:sz w:val="24"/>
          <w:szCs w:val="24"/>
        </w:rPr>
        <w:t xml:space="preserve"> of a higher than average representation of older residents living in the local area with 28% of residents aged 65 which is significantly higher than the boroug</w:t>
      </w:r>
      <w:r w:rsidR="00024D6A">
        <w:rPr>
          <w:rFonts w:ascii="Verdana" w:hAnsi="Verdana" w:cs="Arial"/>
          <w:sz w:val="24"/>
          <w:szCs w:val="24"/>
        </w:rPr>
        <w:t xml:space="preserve">h, region and national averages.  There is also evidence </w:t>
      </w:r>
      <w:r w:rsidR="00B76593">
        <w:rPr>
          <w:rFonts w:ascii="Verdana" w:hAnsi="Verdana" w:cs="Arial"/>
          <w:sz w:val="24"/>
          <w:szCs w:val="24"/>
        </w:rPr>
        <w:t>that the</w:t>
      </w:r>
      <w:r w:rsidR="0056566D">
        <w:rPr>
          <w:rFonts w:ascii="Verdana" w:hAnsi="Verdana" w:cs="Arial"/>
          <w:sz w:val="24"/>
          <w:szCs w:val="24"/>
        </w:rPr>
        <w:t xml:space="preserve"> population</w:t>
      </w:r>
      <w:r w:rsidR="00B76593">
        <w:rPr>
          <w:rFonts w:ascii="Verdana" w:hAnsi="Verdana" w:cs="Arial"/>
          <w:sz w:val="24"/>
          <w:szCs w:val="24"/>
        </w:rPr>
        <w:t xml:space="preserve"> is ageing</w:t>
      </w:r>
      <w:r w:rsidR="0056566D">
        <w:rPr>
          <w:rFonts w:ascii="Verdana" w:hAnsi="Verdana" w:cs="Arial"/>
          <w:sz w:val="24"/>
          <w:szCs w:val="24"/>
        </w:rPr>
        <w:t xml:space="preserve"> with the share of residents aged 6</w:t>
      </w:r>
      <w:r w:rsidR="00024D6A">
        <w:rPr>
          <w:rFonts w:ascii="Verdana" w:hAnsi="Verdana" w:cs="Arial"/>
          <w:sz w:val="24"/>
          <w:szCs w:val="24"/>
        </w:rPr>
        <w:t>5</w:t>
      </w:r>
      <w:r w:rsidR="0056566D">
        <w:rPr>
          <w:rFonts w:ascii="Verdana" w:hAnsi="Verdana" w:cs="Arial"/>
          <w:sz w:val="24"/>
          <w:szCs w:val="24"/>
        </w:rPr>
        <w:t xml:space="preserve"> and over increasing from </w:t>
      </w:r>
      <w:r w:rsidR="00024D6A">
        <w:rPr>
          <w:rFonts w:ascii="Verdana" w:hAnsi="Verdana" w:cs="Arial"/>
          <w:sz w:val="24"/>
          <w:szCs w:val="24"/>
        </w:rPr>
        <w:t>18</w:t>
      </w:r>
      <w:r w:rsidR="00B76593">
        <w:rPr>
          <w:rFonts w:ascii="Verdana" w:hAnsi="Verdana" w:cs="Arial"/>
          <w:sz w:val="24"/>
          <w:szCs w:val="24"/>
        </w:rPr>
        <w:t>% of the total population</w:t>
      </w:r>
      <w:r w:rsidR="0056566D">
        <w:rPr>
          <w:rFonts w:ascii="Verdana" w:hAnsi="Verdana" w:cs="Arial"/>
          <w:sz w:val="24"/>
          <w:szCs w:val="24"/>
        </w:rPr>
        <w:t xml:space="preserve"> in 2001 to </w:t>
      </w:r>
      <w:r>
        <w:rPr>
          <w:rFonts w:ascii="Verdana" w:hAnsi="Verdana" w:cs="Arial"/>
          <w:sz w:val="24"/>
          <w:szCs w:val="24"/>
        </w:rPr>
        <w:t>2</w:t>
      </w:r>
      <w:r w:rsidR="00024D6A">
        <w:rPr>
          <w:rFonts w:ascii="Verdana" w:hAnsi="Verdana" w:cs="Arial"/>
          <w:sz w:val="24"/>
          <w:szCs w:val="24"/>
        </w:rPr>
        <w:t>8</w:t>
      </w:r>
      <w:r w:rsidR="0056566D">
        <w:rPr>
          <w:rFonts w:ascii="Verdana" w:hAnsi="Verdana" w:cs="Arial"/>
          <w:sz w:val="24"/>
          <w:szCs w:val="24"/>
        </w:rPr>
        <w:t>% in 2011. The Census shows that the number of residents aged 6</w:t>
      </w:r>
      <w:r w:rsidR="00024D6A">
        <w:rPr>
          <w:rFonts w:ascii="Verdana" w:hAnsi="Verdana" w:cs="Arial"/>
          <w:sz w:val="24"/>
          <w:szCs w:val="24"/>
        </w:rPr>
        <w:t>5</w:t>
      </w:r>
      <w:r w:rsidR="0056566D">
        <w:rPr>
          <w:rFonts w:ascii="Verdana" w:hAnsi="Verdana" w:cs="Arial"/>
          <w:sz w:val="24"/>
          <w:szCs w:val="24"/>
        </w:rPr>
        <w:t xml:space="preserve">+ rose by </w:t>
      </w:r>
      <w:r w:rsidR="00024D6A">
        <w:rPr>
          <w:rFonts w:ascii="Verdana" w:hAnsi="Verdana" w:cs="Arial"/>
          <w:sz w:val="24"/>
          <w:szCs w:val="24"/>
        </w:rPr>
        <w:t>50</w:t>
      </w:r>
      <w:r w:rsidR="0056566D">
        <w:rPr>
          <w:rFonts w:ascii="Verdana" w:hAnsi="Verdana" w:cs="Arial"/>
          <w:sz w:val="24"/>
          <w:szCs w:val="24"/>
        </w:rPr>
        <w:t xml:space="preserve">% during this period. In </w:t>
      </w:r>
      <w:r w:rsidR="009E2D66" w:rsidRPr="00F37FDE">
        <w:rPr>
          <w:rFonts w:ascii="Verdana" w:hAnsi="Verdana" w:cs="Arial"/>
          <w:sz w:val="24"/>
          <w:szCs w:val="24"/>
        </w:rPr>
        <w:t>line with national trends the local population is likely to get older as average life expectancy continues to rise.</w:t>
      </w:r>
      <w:r w:rsidR="005762C5">
        <w:rPr>
          <w:rFonts w:ascii="Verdana" w:hAnsi="Verdana" w:cs="Arial"/>
          <w:sz w:val="24"/>
          <w:szCs w:val="24"/>
        </w:rPr>
        <w:t xml:space="preserve"> </w:t>
      </w:r>
    </w:p>
    <w:p w14:paraId="049A9458" w14:textId="77777777" w:rsidR="0056566D" w:rsidRDefault="008A630A" w:rsidP="0056566D">
      <w:pPr>
        <w:pStyle w:val="NoSpacing"/>
        <w:spacing w:before="120"/>
        <w:jc w:val="both"/>
        <w:rPr>
          <w:rFonts w:ascii="Verdana" w:hAnsi="Verdana" w:cs="Arial"/>
          <w:sz w:val="24"/>
          <w:szCs w:val="24"/>
        </w:rPr>
      </w:pPr>
      <w:r>
        <w:rPr>
          <w:rFonts w:ascii="Verdana" w:hAnsi="Verdana" w:cs="Arial"/>
          <w:sz w:val="24"/>
          <w:szCs w:val="24"/>
        </w:rPr>
        <w:t>Hom</w:t>
      </w:r>
      <w:r w:rsidR="00B76593">
        <w:rPr>
          <w:rFonts w:ascii="Verdana" w:hAnsi="Verdana" w:cs="Arial"/>
          <w:sz w:val="24"/>
          <w:szCs w:val="24"/>
        </w:rPr>
        <w:t xml:space="preserve">e ownership levels are </w:t>
      </w:r>
      <w:r w:rsidR="00B72214">
        <w:rPr>
          <w:rFonts w:ascii="Verdana" w:hAnsi="Verdana" w:cs="Arial"/>
          <w:sz w:val="24"/>
          <w:szCs w:val="24"/>
        </w:rPr>
        <w:t xml:space="preserve">very </w:t>
      </w:r>
      <w:r w:rsidR="00B76593">
        <w:rPr>
          <w:rFonts w:ascii="Verdana" w:hAnsi="Verdana" w:cs="Arial"/>
          <w:sz w:val="24"/>
          <w:szCs w:val="24"/>
        </w:rPr>
        <w:t>high with around 8</w:t>
      </w:r>
      <w:r w:rsidR="002B448E">
        <w:rPr>
          <w:rFonts w:ascii="Verdana" w:hAnsi="Verdana" w:cs="Arial"/>
          <w:sz w:val="24"/>
          <w:szCs w:val="24"/>
        </w:rPr>
        <w:t>1</w:t>
      </w:r>
      <w:r w:rsidR="0056566D">
        <w:rPr>
          <w:rFonts w:ascii="Verdana" w:hAnsi="Verdana" w:cs="Arial"/>
          <w:sz w:val="24"/>
          <w:szCs w:val="24"/>
        </w:rPr>
        <w:t>% of households own</w:t>
      </w:r>
      <w:r>
        <w:rPr>
          <w:rFonts w:ascii="Verdana" w:hAnsi="Verdana" w:cs="Arial"/>
          <w:sz w:val="24"/>
          <w:szCs w:val="24"/>
        </w:rPr>
        <w:t>ing</w:t>
      </w:r>
      <w:r w:rsidR="0056566D">
        <w:rPr>
          <w:rFonts w:ascii="Verdana" w:hAnsi="Verdana" w:cs="Arial"/>
          <w:sz w:val="24"/>
          <w:szCs w:val="24"/>
        </w:rPr>
        <w:t xml:space="preserve"> their homes outright or </w:t>
      </w:r>
      <w:r w:rsidR="00B76593">
        <w:rPr>
          <w:rFonts w:ascii="Verdana" w:hAnsi="Verdana" w:cs="Arial"/>
          <w:sz w:val="24"/>
          <w:szCs w:val="24"/>
        </w:rPr>
        <w:t xml:space="preserve">with a mortgage or loan and at </w:t>
      </w:r>
      <w:r w:rsidR="002B448E">
        <w:rPr>
          <w:rFonts w:ascii="Verdana" w:hAnsi="Verdana" w:cs="Arial"/>
          <w:sz w:val="24"/>
          <w:szCs w:val="24"/>
        </w:rPr>
        <w:t>4</w:t>
      </w:r>
      <w:r w:rsidR="0056566D">
        <w:rPr>
          <w:rFonts w:ascii="Verdana" w:hAnsi="Verdana" w:cs="Arial"/>
          <w:sz w:val="24"/>
          <w:szCs w:val="24"/>
        </w:rPr>
        <w:t xml:space="preserve">% the share of households living in </w:t>
      </w:r>
      <w:r w:rsidR="00B72214">
        <w:rPr>
          <w:rFonts w:ascii="Verdana" w:hAnsi="Verdana" w:cs="Arial"/>
          <w:sz w:val="24"/>
          <w:szCs w:val="24"/>
        </w:rPr>
        <w:t>private</w:t>
      </w:r>
      <w:r w:rsidR="0056566D">
        <w:rPr>
          <w:rFonts w:ascii="Verdana" w:hAnsi="Verdana" w:cs="Arial"/>
          <w:sz w:val="24"/>
          <w:szCs w:val="24"/>
        </w:rPr>
        <w:t xml:space="preserve"> rented accommodation is very </w:t>
      </w:r>
      <w:r w:rsidR="00B76593">
        <w:rPr>
          <w:rFonts w:ascii="Verdana" w:hAnsi="Verdana" w:cs="Arial"/>
          <w:sz w:val="24"/>
          <w:szCs w:val="24"/>
        </w:rPr>
        <w:t xml:space="preserve">low </w:t>
      </w:r>
      <w:r w:rsidR="0056566D">
        <w:rPr>
          <w:rFonts w:ascii="Verdana" w:hAnsi="Verdana" w:cs="Arial"/>
          <w:sz w:val="24"/>
          <w:szCs w:val="24"/>
        </w:rPr>
        <w:t xml:space="preserve">when compared with </w:t>
      </w:r>
      <w:r w:rsidR="00887B8D">
        <w:rPr>
          <w:rFonts w:ascii="Verdana" w:hAnsi="Verdana" w:cs="Arial"/>
          <w:sz w:val="24"/>
          <w:szCs w:val="24"/>
        </w:rPr>
        <w:t>borough</w:t>
      </w:r>
      <w:r w:rsidR="0056566D">
        <w:rPr>
          <w:rFonts w:ascii="Verdana" w:hAnsi="Verdana" w:cs="Arial"/>
          <w:sz w:val="24"/>
          <w:szCs w:val="24"/>
        </w:rPr>
        <w:t>, regional and national rates.</w:t>
      </w:r>
    </w:p>
    <w:p w14:paraId="3939AD71" w14:textId="77777777" w:rsidR="000868FB" w:rsidRPr="00F37FDE" w:rsidRDefault="008B55B1" w:rsidP="00B753B9">
      <w:pPr>
        <w:pStyle w:val="NoSpacing"/>
        <w:spacing w:before="120"/>
        <w:jc w:val="both"/>
        <w:rPr>
          <w:rFonts w:ascii="Verdana" w:hAnsi="Verdana" w:cs="Arial"/>
          <w:sz w:val="24"/>
          <w:szCs w:val="24"/>
        </w:rPr>
      </w:pPr>
      <w:r w:rsidRPr="00F37FDE">
        <w:rPr>
          <w:rFonts w:ascii="Verdana" w:hAnsi="Verdana" w:cs="Arial"/>
          <w:sz w:val="24"/>
          <w:szCs w:val="24"/>
        </w:rPr>
        <w:lastRenderedPageBreak/>
        <w:t>Th</w:t>
      </w:r>
      <w:r w:rsidR="006153EB">
        <w:rPr>
          <w:rFonts w:ascii="Verdana" w:hAnsi="Verdana" w:cs="Arial"/>
          <w:sz w:val="24"/>
          <w:szCs w:val="24"/>
        </w:rPr>
        <w:t>e</w:t>
      </w:r>
      <w:r w:rsidR="00DF45BD">
        <w:rPr>
          <w:rFonts w:ascii="Verdana" w:hAnsi="Verdana" w:cs="Arial"/>
          <w:sz w:val="24"/>
          <w:szCs w:val="24"/>
        </w:rPr>
        <w:t>re is evidence of u</w:t>
      </w:r>
      <w:r w:rsidR="006153EB">
        <w:rPr>
          <w:rFonts w:ascii="Verdana" w:hAnsi="Verdana" w:cs="Arial"/>
          <w:sz w:val="24"/>
          <w:szCs w:val="24"/>
        </w:rPr>
        <w:t>nder occupancy</w:t>
      </w:r>
      <w:r w:rsidR="003D1B6E" w:rsidRPr="00F37FDE">
        <w:rPr>
          <w:rFonts w:ascii="Verdana" w:hAnsi="Verdana" w:cs="Arial"/>
          <w:sz w:val="24"/>
          <w:szCs w:val="24"/>
        </w:rPr>
        <w:t xml:space="preserve"> </w:t>
      </w:r>
      <w:r w:rsidR="00DF45BD">
        <w:rPr>
          <w:rFonts w:ascii="Verdana" w:hAnsi="Verdana" w:cs="Arial"/>
          <w:sz w:val="24"/>
          <w:szCs w:val="24"/>
        </w:rPr>
        <w:t>suggesting</w:t>
      </w:r>
      <w:r w:rsidR="003D1B6E" w:rsidRPr="00F37FDE">
        <w:rPr>
          <w:rFonts w:ascii="Verdana" w:hAnsi="Verdana" w:cs="Arial"/>
          <w:sz w:val="24"/>
          <w:szCs w:val="24"/>
        </w:rPr>
        <w:t xml:space="preserve"> </w:t>
      </w:r>
      <w:r w:rsidRPr="00F37FDE">
        <w:rPr>
          <w:rFonts w:ascii="Verdana" w:hAnsi="Verdana" w:cs="Arial"/>
          <w:sz w:val="24"/>
          <w:szCs w:val="24"/>
        </w:rPr>
        <w:t>a</w:t>
      </w:r>
      <w:r w:rsidR="003D1B6E" w:rsidRPr="00F37FDE">
        <w:rPr>
          <w:rFonts w:ascii="Verdana" w:hAnsi="Verdana" w:cs="Arial"/>
          <w:sz w:val="24"/>
          <w:szCs w:val="24"/>
        </w:rPr>
        <w:t xml:space="preserve"> </w:t>
      </w:r>
      <w:r w:rsidR="000868FB" w:rsidRPr="00F37FDE">
        <w:rPr>
          <w:rFonts w:ascii="Verdana" w:hAnsi="Verdana" w:cs="Arial"/>
          <w:sz w:val="24"/>
          <w:szCs w:val="24"/>
        </w:rPr>
        <w:t>need</w:t>
      </w:r>
      <w:r w:rsidR="003D1B6E" w:rsidRPr="00F37FDE">
        <w:rPr>
          <w:rFonts w:ascii="Verdana" w:hAnsi="Verdana" w:cs="Arial"/>
          <w:sz w:val="24"/>
          <w:szCs w:val="24"/>
        </w:rPr>
        <w:t xml:space="preserve"> </w:t>
      </w:r>
      <w:r w:rsidR="006131F5" w:rsidRPr="00F37FDE">
        <w:rPr>
          <w:rFonts w:ascii="Verdana" w:hAnsi="Verdana" w:cs="Arial"/>
          <w:sz w:val="24"/>
          <w:szCs w:val="24"/>
        </w:rPr>
        <w:t>for</w:t>
      </w:r>
      <w:r w:rsidR="003D1B6E" w:rsidRPr="00F37FDE">
        <w:rPr>
          <w:rFonts w:ascii="Verdana" w:hAnsi="Verdana" w:cs="Arial"/>
          <w:sz w:val="24"/>
          <w:szCs w:val="24"/>
        </w:rPr>
        <w:t xml:space="preserve"> </w:t>
      </w:r>
      <w:r w:rsidR="006131F5" w:rsidRPr="00F37FDE">
        <w:rPr>
          <w:rFonts w:ascii="Verdana" w:hAnsi="Verdana" w:cs="Arial"/>
          <w:sz w:val="24"/>
          <w:szCs w:val="24"/>
        </w:rPr>
        <w:t>smaller</w:t>
      </w:r>
      <w:r w:rsidR="003D1B6E" w:rsidRPr="00F37FDE">
        <w:rPr>
          <w:rFonts w:ascii="Verdana" w:hAnsi="Verdana" w:cs="Arial"/>
          <w:sz w:val="24"/>
          <w:szCs w:val="24"/>
        </w:rPr>
        <w:t xml:space="preserve"> </w:t>
      </w:r>
      <w:r w:rsidR="006131F5" w:rsidRPr="00F37FDE">
        <w:rPr>
          <w:rFonts w:ascii="Verdana" w:hAnsi="Verdana" w:cs="Arial"/>
          <w:sz w:val="24"/>
          <w:szCs w:val="24"/>
        </w:rPr>
        <w:t>homes</w:t>
      </w:r>
      <w:r w:rsidR="003D1B6E" w:rsidRPr="00F37FDE">
        <w:rPr>
          <w:rFonts w:ascii="Verdana" w:hAnsi="Verdana" w:cs="Arial"/>
          <w:sz w:val="24"/>
          <w:szCs w:val="24"/>
        </w:rPr>
        <w:t xml:space="preserve"> </w:t>
      </w:r>
      <w:r w:rsidR="006131F5" w:rsidRPr="00F37FDE">
        <w:rPr>
          <w:rFonts w:ascii="Verdana" w:hAnsi="Verdana" w:cs="Arial"/>
          <w:sz w:val="24"/>
          <w:szCs w:val="24"/>
        </w:rPr>
        <w:t>of</w:t>
      </w:r>
      <w:r w:rsidR="003D1B6E" w:rsidRPr="00F37FDE">
        <w:rPr>
          <w:rFonts w:ascii="Verdana" w:hAnsi="Verdana" w:cs="Arial"/>
          <w:sz w:val="24"/>
          <w:szCs w:val="24"/>
        </w:rPr>
        <w:t xml:space="preserve"> </w:t>
      </w:r>
      <w:r w:rsidR="006131F5" w:rsidRPr="00F37FDE">
        <w:rPr>
          <w:rFonts w:ascii="Verdana" w:hAnsi="Verdana" w:cs="Arial"/>
          <w:sz w:val="24"/>
          <w:szCs w:val="24"/>
        </w:rPr>
        <w:t>one</w:t>
      </w:r>
      <w:r w:rsidR="003D1B6E" w:rsidRPr="00F37FDE">
        <w:rPr>
          <w:rFonts w:ascii="Verdana" w:hAnsi="Verdana" w:cs="Arial"/>
          <w:sz w:val="24"/>
          <w:szCs w:val="24"/>
        </w:rPr>
        <w:t xml:space="preserve"> </w:t>
      </w:r>
      <w:r w:rsidR="006131F5" w:rsidRPr="00F37FDE">
        <w:rPr>
          <w:rFonts w:ascii="Verdana" w:hAnsi="Verdana" w:cs="Arial"/>
          <w:sz w:val="24"/>
          <w:szCs w:val="24"/>
        </w:rPr>
        <w:t>to</w:t>
      </w:r>
      <w:r w:rsidR="003D1B6E" w:rsidRPr="00F37FDE">
        <w:rPr>
          <w:rFonts w:ascii="Verdana" w:hAnsi="Verdana" w:cs="Arial"/>
          <w:sz w:val="24"/>
          <w:szCs w:val="24"/>
        </w:rPr>
        <w:t xml:space="preserve"> </w:t>
      </w:r>
      <w:r w:rsidR="006131F5" w:rsidRPr="00F37FDE">
        <w:rPr>
          <w:rFonts w:ascii="Verdana" w:hAnsi="Verdana" w:cs="Arial"/>
          <w:sz w:val="24"/>
          <w:szCs w:val="24"/>
        </w:rPr>
        <w:t>two</w:t>
      </w:r>
      <w:r w:rsidR="003D1B6E" w:rsidRPr="00F37FDE">
        <w:rPr>
          <w:rFonts w:ascii="Verdana" w:hAnsi="Verdana" w:cs="Arial"/>
          <w:sz w:val="24"/>
          <w:szCs w:val="24"/>
        </w:rPr>
        <w:t xml:space="preserve"> </w:t>
      </w:r>
      <w:r w:rsidR="006131F5" w:rsidRPr="00F37FDE">
        <w:rPr>
          <w:rFonts w:ascii="Verdana" w:hAnsi="Verdana" w:cs="Arial"/>
          <w:sz w:val="24"/>
          <w:szCs w:val="24"/>
        </w:rPr>
        <w:t>bedroom</w:t>
      </w:r>
      <w:r w:rsidRPr="00F37FDE">
        <w:rPr>
          <w:rFonts w:ascii="Verdana" w:hAnsi="Verdana" w:cs="Arial"/>
          <w:sz w:val="24"/>
          <w:szCs w:val="24"/>
        </w:rPr>
        <w:t>s</w:t>
      </w:r>
      <w:r w:rsidR="003D1B6E" w:rsidRPr="00F37FDE">
        <w:rPr>
          <w:rFonts w:ascii="Verdana" w:hAnsi="Verdana" w:cs="Arial"/>
          <w:sz w:val="24"/>
          <w:szCs w:val="24"/>
        </w:rPr>
        <w:t xml:space="preserve"> </w:t>
      </w:r>
      <w:r w:rsidR="000868FB" w:rsidRPr="00F37FDE">
        <w:rPr>
          <w:rFonts w:ascii="Verdana" w:hAnsi="Verdana" w:cs="Arial"/>
          <w:sz w:val="24"/>
          <w:szCs w:val="24"/>
        </w:rPr>
        <w:t>which</w:t>
      </w:r>
      <w:r w:rsidR="003D1B6E" w:rsidRPr="00F37FDE">
        <w:rPr>
          <w:rFonts w:ascii="Verdana" w:hAnsi="Verdana" w:cs="Arial"/>
          <w:sz w:val="24"/>
          <w:szCs w:val="24"/>
        </w:rPr>
        <w:t xml:space="preserve"> </w:t>
      </w:r>
      <w:r w:rsidR="000868FB" w:rsidRPr="00F37FDE">
        <w:rPr>
          <w:rFonts w:ascii="Verdana" w:hAnsi="Verdana" w:cs="Arial"/>
          <w:sz w:val="24"/>
          <w:szCs w:val="24"/>
        </w:rPr>
        <w:t>would</w:t>
      </w:r>
      <w:r w:rsidR="003D1B6E" w:rsidRPr="00F37FDE">
        <w:rPr>
          <w:rFonts w:ascii="Verdana" w:hAnsi="Verdana" w:cs="Arial"/>
          <w:sz w:val="24"/>
          <w:szCs w:val="24"/>
        </w:rPr>
        <w:t xml:space="preserve"> </w:t>
      </w:r>
      <w:r w:rsidR="000868FB" w:rsidRPr="00F37FDE">
        <w:rPr>
          <w:rFonts w:ascii="Verdana" w:hAnsi="Verdana" w:cs="Arial"/>
          <w:sz w:val="24"/>
          <w:szCs w:val="24"/>
        </w:rPr>
        <w:t>be</w:t>
      </w:r>
      <w:r w:rsidR="003D1B6E" w:rsidRPr="00F37FDE">
        <w:rPr>
          <w:rFonts w:ascii="Verdana" w:hAnsi="Verdana" w:cs="Arial"/>
          <w:sz w:val="24"/>
          <w:szCs w:val="24"/>
        </w:rPr>
        <w:t xml:space="preserve"> </w:t>
      </w:r>
      <w:r w:rsidR="000868FB" w:rsidRPr="00F37FDE">
        <w:rPr>
          <w:rFonts w:ascii="Verdana" w:hAnsi="Verdana" w:cs="Arial"/>
          <w:sz w:val="24"/>
          <w:szCs w:val="24"/>
        </w:rPr>
        <w:t>suitable</w:t>
      </w:r>
      <w:r w:rsidR="003D1B6E" w:rsidRPr="00F37FDE">
        <w:rPr>
          <w:rFonts w:ascii="Verdana" w:hAnsi="Verdana" w:cs="Arial"/>
          <w:sz w:val="24"/>
          <w:szCs w:val="24"/>
        </w:rPr>
        <w:t xml:space="preserve"> </w:t>
      </w:r>
      <w:r w:rsidR="000868FB" w:rsidRPr="00F37FDE">
        <w:rPr>
          <w:rFonts w:ascii="Verdana" w:hAnsi="Verdana" w:cs="Arial"/>
          <w:sz w:val="24"/>
          <w:szCs w:val="24"/>
        </w:rPr>
        <w:t>for</w:t>
      </w:r>
      <w:r w:rsidR="003D1B6E" w:rsidRPr="00F37FDE">
        <w:rPr>
          <w:rFonts w:ascii="Verdana" w:hAnsi="Verdana" w:cs="Arial"/>
          <w:sz w:val="24"/>
          <w:szCs w:val="24"/>
        </w:rPr>
        <w:t xml:space="preserve"> </w:t>
      </w:r>
      <w:r w:rsidR="000868FB" w:rsidRPr="00F37FDE">
        <w:rPr>
          <w:rFonts w:ascii="Verdana" w:hAnsi="Verdana" w:cs="Arial"/>
          <w:sz w:val="24"/>
          <w:szCs w:val="24"/>
        </w:rPr>
        <w:t>residents</w:t>
      </w:r>
      <w:r w:rsidR="003D1B6E" w:rsidRPr="00F37FDE">
        <w:rPr>
          <w:rFonts w:ascii="Verdana" w:hAnsi="Verdana" w:cs="Arial"/>
          <w:sz w:val="24"/>
          <w:szCs w:val="24"/>
        </w:rPr>
        <w:t xml:space="preserve"> </w:t>
      </w:r>
      <w:r w:rsidR="000868FB" w:rsidRPr="00F37FDE">
        <w:rPr>
          <w:rFonts w:ascii="Verdana" w:hAnsi="Verdana" w:cs="Arial"/>
          <w:sz w:val="24"/>
          <w:szCs w:val="24"/>
        </w:rPr>
        <w:t>needing</w:t>
      </w:r>
      <w:r w:rsidR="003D1B6E" w:rsidRPr="00F37FDE">
        <w:rPr>
          <w:rFonts w:ascii="Verdana" w:hAnsi="Verdana" w:cs="Arial"/>
          <w:sz w:val="24"/>
          <w:szCs w:val="24"/>
        </w:rPr>
        <w:t xml:space="preserve"> </w:t>
      </w:r>
      <w:r w:rsidR="000868FB" w:rsidRPr="00F37FDE">
        <w:rPr>
          <w:rFonts w:ascii="Verdana" w:hAnsi="Verdana" w:cs="Arial"/>
          <w:sz w:val="24"/>
          <w:szCs w:val="24"/>
        </w:rPr>
        <w:t>to</w:t>
      </w:r>
      <w:r w:rsidR="003D1B6E" w:rsidRPr="00F37FDE">
        <w:rPr>
          <w:rFonts w:ascii="Verdana" w:hAnsi="Verdana" w:cs="Arial"/>
          <w:sz w:val="24"/>
          <w:szCs w:val="24"/>
        </w:rPr>
        <w:t xml:space="preserve"> </w:t>
      </w:r>
      <w:r w:rsidR="000868FB" w:rsidRPr="00F37FDE">
        <w:rPr>
          <w:rFonts w:ascii="Verdana" w:hAnsi="Verdana" w:cs="Arial"/>
          <w:sz w:val="24"/>
          <w:szCs w:val="24"/>
        </w:rPr>
        <w:t>downsize,</w:t>
      </w:r>
      <w:r w:rsidR="003D1B6E" w:rsidRPr="00F37FDE">
        <w:rPr>
          <w:rFonts w:ascii="Verdana" w:hAnsi="Verdana" w:cs="Arial"/>
          <w:sz w:val="24"/>
          <w:szCs w:val="24"/>
        </w:rPr>
        <w:t xml:space="preserve"> </w:t>
      </w:r>
      <w:r w:rsidR="000868FB" w:rsidRPr="00F37FDE">
        <w:rPr>
          <w:rFonts w:ascii="Verdana" w:hAnsi="Verdana" w:cs="Arial"/>
          <w:sz w:val="24"/>
          <w:szCs w:val="24"/>
        </w:rPr>
        <w:t>small</w:t>
      </w:r>
      <w:r w:rsidR="003D1B6E" w:rsidRPr="00F37FDE">
        <w:rPr>
          <w:rFonts w:ascii="Verdana" w:hAnsi="Verdana" w:cs="Arial"/>
          <w:sz w:val="24"/>
          <w:szCs w:val="24"/>
        </w:rPr>
        <w:t xml:space="preserve"> </w:t>
      </w:r>
      <w:r w:rsidR="000868FB" w:rsidRPr="00F37FDE">
        <w:rPr>
          <w:rFonts w:ascii="Verdana" w:hAnsi="Verdana" w:cs="Arial"/>
          <w:sz w:val="24"/>
          <w:szCs w:val="24"/>
        </w:rPr>
        <w:t>families</w:t>
      </w:r>
      <w:r w:rsidR="003D1B6E" w:rsidRPr="00F37FDE">
        <w:rPr>
          <w:rFonts w:ascii="Verdana" w:hAnsi="Verdana" w:cs="Arial"/>
          <w:sz w:val="24"/>
          <w:szCs w:val="24"/>
        </w:rPr>
        <w:t xml:space="preserve"> </w:t>
      </w:r>
      <w:r w:rsidR="000868FB" w:rsidRPr="00F37FDE">
        <w:rPr>
          <w:rFonts w:ascii="Verdana" w:hAnsi="Verdana" w:cs="Arial"/>
          <w:sz w:val="24"/>
          <w:szCs w:val="24"/>
        </w:rPr>
        <w:t>and</w:t>
      </w:r>
      <w:r w:rsidR="003D1B6E" w:rsidRPr="00F37FDE">
        <w:rPr>
          <w:rFonts w:ascii="Verdana" w:hAnsi="Verdana" w:cs="Arial"/>
          <w:sz w:val="24"/>
          <w:szCs w:val="24"/>
        </w:rPr>
        <w:t xml:space="preserve"> </w:t>
      </w:r>
      <w:r w:rsidR="000868FB" w:rsidRPr="00F37FDE">
        <w:rPr>
          <w:rFonts w:ascii="Verdana" w:hAnsi="Verdana" w:cs="Arial"/>
          <w:sz w:val="24"/>
          <w:szCs w:val="24"/>
        </w:rPr>
        <w:t>those</w:t>
      </w:r>
      <w:r w:rsidR="003D1B6E" w:rsidRPr="00F37FDE">
        <w:rPr>
          <w:rFonts w:ascii="Verdana" w:hAnsi="Verdana" w:cs="Arial"/>
          <w:sz w:val="24"/>
          <w:szCs w:val="24"/>
        </w:rPr>
        <w:t xml:space="preserve"> </w:t>
      </w:r>
      <w:r w:rsidR="000868FB" w:rsidRPr="00F37FDE">
        <w:rPr>
          <w:rFonts w:ascii="Verdana" w:hAnsi="Verdana" w:cs="Arial"/>
          <w:sz w:val="24"/>
          <w:szCs w:val="24"/>
        </w:rPr>
        <w:t>entering</w:t>
      </w:r>
      <w:r w:rsidR="003D1B6E" w:rsidRPr="00F37FDE">
        <w:rPr>
          <w:rFonts w:ascii="Verdana" w:hAnsi="Verdana" w:cs="Arial"/>
          <w:sz w:val="24"/>
          <w:szCs w:val="24"/>
        </w:rPr>
        <w:t xml:space="preserve"> </w:t>
      </w:r>
      <w:r w:rsidR="000868FB" w:rsidRPr="00F37FDE">
        <w:rPr>
          <w:rFonts w:ascii="Verdana" w:hAnsi="Verdana" w:cs="Arial"/>
          <w:sz w:val="24"/>
          <w:szCs w:val="24"/>
        </w:rPr>
        <w:t>the</w:t>
      </w:r>
      <w:r w:rsidR="003D1B6E" w:rsidRPr="00F37FDE">
        <w:rPr>
          <w:rFonts w:ascii="Verdana" w:hAnsi="Verdana" w:cs="Arial"/>
          <w:sz w:val="24"/>
          <w:szCs w:val="24"/>
        </w:rPr>
        <w:t xml:space="preserve"> </w:t>
      </w:r>
      <w:r w:rsidR="000868FB" w:rsidRPr="00F37FDE">
        <w:rPr>
          <w:rFonts w:ascii="Verdana" w:hAnsi="Verdana" w:cs="Arial"/>
          <w:sz w:val="24"/>
          <w:szCs w:val="24"/>
        </w:rPr>
        <w:t>housing</w:t>
      </w:r>
      <w:r w:rsidR="003D1B6E" w:rsidRPr="00F37FDE">
        <w:rPr>
          <w:rFonts w:ascii="Verdana" w:hAnsi="Verdana" w:cs="Arial"/>
          <w:sz w:val="24"/>
          <w:szCs w:val="24"/>
        </w:rPr>
        <w:t xml:space="preserve"> </w:t>
      </w:r>
      <w:r w:rsidR="000868FB" w:rsidRPr="00F37FDE">
        <w:rPr>
          <w:rFonts w:ascii="Verdana" w:hAnsi="Verdana" w:cs="Arial"/>
          <w:sz w:val="24"/>
          <w:szCs w:val="24"/>
        </w:rPr>
        <w:t>market.</w:t>
      </w:r>
      <w:r w:rsidR="003D1B6E" w:rsidRPr="00F37FDE">
        <w:rPr>
          <w:rFonts w:ascii="Verdana" w:hAnsi="Verdana" w:cs="Arial"/>
          <w:sz w:val="24"/>
          <w:szCs w:val="24"/>
        </w:rPr>
        <w:t xml:space="preserve"> </w:t>
      </w:r>
      <w:r w:rsidR="000868FB" w:rsidRPr="00F37FDE">
        <w:rPr>
          <w:rFonts w:ascii="Verdana" w:hAnsi="Verdana" w:cs="Arial"/>
          <w:sz w:val="24"/>
          <w:szCs w:val="24"/>
        </w:rPr>
        <w:t>Providing</w:t>
      </w:r>
      <w:r w:rsidR="003D1B6E" w:rsidRPr="00F37FDE">
        <w:rPr>
          <w:rFonts w:ascii="Verdana" w:hAnsi="Verdana" w:cs="Arial"/>
          <w:sz w:val="24"/>
          <w:szCs w:val="24"/>
        </w:rPr>
        <w:t xml:space="preserve"> </w:t>
      </w:r>
      <w:r w:rsidR="000868FB" w:rsidRPr="00F37FDE">
        <w:rPr>
          <w:rFonts w:ascii="Verdana" w:hAnsi="Verdana" w:cs="Arial"/>
          <w:sz w:val="24"/>
          <w:szCs w:val="24"/>
        </w:rPr>
        <w:t>suitable</w:t>
      </w:r>
      <w:r w:rsidR="003D1B6E" w:rsidRPr="00F37FDE">
        <w:rPr>
          <w:rFonts w:ascii="Verdana" w:hAnsi="Verdana" w:cs="Arial"/>
          <w:sz w:val="24"/>
          <w:szCs w:val="24"/>
        </w:rPr>
        <w:t xml:space="preserve"> </w:t>
      </w:r>
      <w:r w:rsidR="000868FB" w:rsidRPr="00F37FDE">
        <w:rPr>
          <w:rFonts w:ascii="Verdana" w:hAnsi="Verdana" w:cs="Arial"/>
          <w:sz w:val="24"/>
          <w:szCs w:val="24"/>
        </w:rPr>
        <w:t>accommodation</w:t>
      </w:r>
      <w:r w:rsidR="003D1B6E" w:rsidRPr="00F37FDE">
        <w:rPr>
          <w:rFonts w:ascii="Verdana" w:hAnsi="Verdana" w:cs="Arial"/>
          <w:sz w:val="24"/>
          <w:szCs w:val="24"/>
        </w:rPr>
        <w:t xml:space="preserve"> </w:t>
      </w:r>
      <w:r w:rsidR="000868FB" w:rsidRPr="00F37FDE">
        <w:rPr>
          <w:rFonts w:ascii="Verdana" w:hAnsi="Verdana" w:cs="Arial"/>
          <w:sz w:val="24"/>
          <w:szCs w:val="24"/>
        </w:rPr>
        <w:t>for</w:t>
      </w:r>
      <w:r w:rsidR="003D1B6E" w:rsidRPr="00F37FDE">
        <w:rPr>
          <w:rFonts w:ascii="Verdana" w:hAnsi="Verdana" w:cs="Arial"/>
          <w:sz w:val="24"/>
          <w:szCs w:val="24"/>
        </w:rPr>
        <w:t xml:space="preserve"> </w:t>
      </w:r>
      <w:r w:rsidR="000868FB" w:rsidRPr="00F37FDE">
        <w:rPr>
          <w:rFonts w:ascii="Verdana" w:hAnsi="Verdana" w:cs="Arial"/>
          <w:sz w:val="24"/>
          <w:szCs w:val="24"/>
        </w:rPr>
        <w:t>elderly</w:t>
      </w:r>
      <w:r w:rsidR="003D1B6E" w:rsidRPr="00F37FDE">
        <w:rPr>
          <w:rFonts w:ascii="Verdana" w:hAnsi="Verdana" w:cs="Arial"/>
          <w:sz w:val="24"/>
          <w:szCs w:val="24"/>
        </w:rPr>
        <w:t xml:space="preserve"> </w:t>
      </w:r>
      <w:r w:rsidR="000868FB" w:rsidRPr="00F37FDE">
        <w:rPr>
          <w:rFonts w:ascii="Verdana" w:hAnsi="Verdana" w:cs="Arial"/>
          <w:sz w:val="24"/>
          <w:szCs w:val="24"/>
        </w:rPr>
        <w:t>residents</w:t>
      </w:r>
      <w:r w:rsidR="003D1B6E" w:rsidRPr="00F37FDE">
        <w:rPr>
          <w:rFonts w:ascii="Verdana" w:hAnsi="Verdana" w:cs="Arial"/>
          <w:sz w:val="24"/>
          <w:szCs w:val="24"/>
        </w:rPr>
        <w:t xml:space="preserve"> </w:t>
      </w:r>
      <w:r w:rsidR="000868FB" w:rsidRPr="00F37FDE">
        <w:rPr>
          <w:rFonts w:ascii="Verdana" w:hAnsi="Verdana" w:cs="Arial"/>
          <w:sz w:val="24"/>
          <w:szCs w:val="24"/>
        </w:rPr>
        <w:t>will</w:t>
      </w:r>
      <w:r w:rsidR="003D1B6E" w:rsidRPr="00F37FDE">
        <w:rPr>
          <w:rFonts w:ascii="Verdana" w:hAnsi="Verdana" w:cs="Arial"/>
          <w:sz w:val="24"/>
          <w:szCs w:val="24"/>
        </w:rPr>
        <w:t xml:space="preserve"> </w:t>
      </w:r>
      <w:r w:rsidR="000868FB" w:rsidRPr="00F37FDE">
        <w:rPr>
          <w:rFonts w:ascii="Verdana" w:hAnsi="Verdana" w:cs="Arial"/>
          <w:sz w:val="24"/>
          <w:szCs w:val="24"/>
        </w:rPr>
        <w:t>enable</w:t>
      </w:r>
      <w:r w:rsidR="003D1B6E" w:rsidRPr="00F37FDE">
        <w:rPr>
          <w:rFonts w:ascii="Verdana" w:hAnsi="Verdana" w:cs="Arial"/>
          <w:sz w:val="24"/>
          <w:szCs w:val="24"/>
        </w:rPr>
        <w:t xml:space="preserve"> </w:t>
      </w:r>
      <w:r w:rsidR="000868FB" w:rsidRPr="00F37FDE">
        <w:rPr>
          <w:rFonts w:ascii="Verdana" w:hAnsi="Verdana" w:cs="Arial"/>
          <w:sz w:val="24"/>
          <w:szCs w:val="24"/>
        </w:rPr>
        <w:t>them</w:t>
      </w:r>
      <w:r w:rsidR="003D1B6E" w:rsidRPr="00F37FDE">
        <w:rPr>
          <w:rFonts w:ascii="Verdana" w:hAnsi="Verdana" w:cs="Arial"/>
          <w:sz w:val="24"/>
          <w:szCs w:val="24"/>
        </w:rPr>
        <w:t xml:space="preserve"> </w:t>
      </w:r>
      <w:r w:rsidR="000868FB" w:rsidRPr="00F37FDE">
        <w:rPr>
          <w:rFonts w:ascii="Verdana" w:hAnsi="Verdana" w:cs="Arial"/>
          <w:sz w:val="24"/>
          <w:szCs w:val="24"/>
        </w:rPr>
        <w:t>to</w:t>
      </w:r>
      <w:r w:rsidR="003D1B6E" w:rsidRPr="00F37FDE">
        <w:rPr>
          <w:rFonts w:ascii="Verdana" w:hAnsi="Verdana" w:cs="Arial"/>
          <w:sz w:val="24"/>
          <w:szCs w:val="24"/>
        </w:rPr>
        <w:t xml:space="preserve"> </w:t>
      </w:r>
      <w:r w:rsidR="000868FB" w:rsidRPr="00F37FDE">
        <w:rPr>
          <w:rFonts w:ascii="Verdana" w:hAnsi="Verdana" w:cs="Arial"/>
          <w:sz w:val="24"/>
          <w:szCs w:val="24"/>
        </w:rPr>
        <w:t>remain</w:t>
      </w:r>
      <w:r w:rsidR="003D1B6E" w:rsidRPr="00F37FDE">
        <w:rPr>
          <w:rFonts w:ascii="Verdana" w:hAnsi="Verdana" w:cs="Arial"/>
          <w:sz w:val="24"/>
          <w:szCs w:val="24"/>
        </w:rPr>
        <w:t xml:space="preserve"> </w:t>
      </w:r>
      <w:r w:rsidR="000868FB" w:rsidRPr="00F37FDE">
        <w:rPr>
          <w:rFonts w:ascii="Verdana" w:hAnsi="Verdana" w:cs="Arial"/>
          <w:sz w:val="24"/>
          <w:szCs w:val="24"/>
        </w:rPr>
        <w:t>in</w:t>
      </w:r>
      <w:r w:rsidR="003D1B6E" w:rsidRPr="00F37FDE">
        <w:rPr>
          <w:rFonts w:ascii="Verdana" w:hAnsi="Verdana" w:cs="Arial"/>
          <w:sz w:val="24"/>
          <w:szCs w:val="24"/>
        </w:rPr>
        <w:t xml:space="preserve"> </w:t>
      </w:r>
      <w:r w:rsidR="000868FB" w:rsidRPr="00F37FDE">
        <w:rPr>
          <w:rFonts w:ascii="Verdana" w:hAnsi="Verdana" w:cs="Arial"/>
          <w:sz w:val="24"/>
          <w:szCs w:val="24"/>
        </w:rPr>
        <w:t>the</w:t>
      </w:r>
      <w:r w:rsidR="003D1B6E" w:rsidRPr="00F37FDE">
        <w:rPr>
          <w:rFonts w:ascii="Verdana" w:hAnsi="Verdana" w:cs="Arial"/>
          <w:sz w:val="24"/>
          <w:szCs w:val="24"/>
        </w:rPr>
        <w:t xml:space="preserve"> </w:t>
      </w:r>
      <w:r w:rsidR="000868FB" w:rsidRPr="00F37FDE">
        <w:rPr>
          <w:rFonts w:ascii="Verdana" w:hAnsi="Verdana" w:cs="Arial"/>
          <w:sz w:val="24"/>
          <w:szCs w:val="24"/>
        </w:rPr>
        <w:t>local</w:t>
      </w:r>
      <w:r w:rsidR="003D1B6E" w:rsidRPr="00F37FDE">
        <w:rPr>
          <w:rFonts w:ascii="Verdana" w:hAnsi="Verdana" w:cs="Arial"/>
          <w:sz w:val="24"/>
          <w:szCs w:val="24"/>
        </w:rPr>
        <w:t xml:space="preserve"> </w:t>
      </w:r>
      <w:r w:rsidR="000868FB" w:rsidRPr="00F37FDE">
        <w:rPr>
          <w:rFonts w:ascii="Verdana" w:hAnsi="Verdana" w:cs="Arial"/>
          <w:sz w:val="24"/>
          <w:szCs w:val="24"/>
        </w:rPr>
        <w:t>community</w:t>
      </w:r>
      <w:r w:rsidR="003D1B6E" w:rsidRPr="00F37FDE">
        <w:rPr>
          <w:rFonts w:ascii="Verdana" w:hAnsi="Verdana" w:cs="Arial"/>
          <w:sz w:val="24"/>
          <w:szCs w:val="24"/>
        </w:rPr>
        <w:t xml:space="preserve"> </w:t>
      </w:r>
      <w:r w:rsidR="000868FB" w:rsidRPr="00F37FDE">
        <w:rPr>
          <w:rFonts w:ascii="Verdana" w:hAnsi="Verdana" w:cs="Arial"/>
          <w:sz w:val="24"/>
          <w:szCs w:val="24"/>
        </w:rPr>
        <w:t>and</w:t>
      </w:r>
      <w:r w:rsidR="003D1B6E" w:rsidRPr="00F37FDE">
        <w:rPr>
          <w:rFonts w:ascii="Verdana" w:hAnsi="Verdana" w:cs="Arial"/>
          <w:sz w:val="24"/>
          <w:szCs w:val="24"/>
        </w:rPr>
        <w:t xml:space="preserve"> </w:t>
      </w:r>
      <w:r w:rsidR="000868FB" w:rsidRPr="00F37FDE">
        <w:rPr>
          <w:rFonts w:ascii="Verdana" w:hAnsi="Verdana" w:cs="Arial"/>
          <w:sz w:val="24"/>
          <w:szCs w:val="24"/>
        </w:rPr>
        <w:t>release</w:t>
      </w:r>
      <w:r w:rsidR="003D1B6E" w:rsidRPr="00F37FDE">
        <w:rPr>
          <w:rFonts w:ascii="Verdana" w:hAnsi="Verdana" w:cs="Arial"/>
          <w:sz w:val="24"/>
          <w:szCs w:val="24"/>
        </w:rPr>
        <w:t xml:space="preserve"> </w:t>
      </w:r>
      <w:r w:rsidR="000868FB" w:rsidRPr="00F37FDE">
        <w:rPr>
          <w:rFonts w:ascii="Verdana" w:hAnsi="Verdana" w:cs="Arial"/>
          <w:sz w:val="24"/>
          <w:szCs w:val="24"/>
        </w:rPr>
        <w:t>under</w:t>
      </w:r>
      <w:r w:rsidR="0059692D" w:rsidRPr="00F37FDE">
        <w:rPr>
          <w:rFonts w:ascii="Verdana" w:hAnsi="Verdana" w:cs="Arial"/>
          <w:sz w:val="24"/>
          <w:szCs w:val="24"/>
        </w:rPr>
        <w:t>-</w:t>
      </w:r>
      <w:r w:rsidR="000868FB" w:rsidRPr="00F37FDE">
        <w:rPr>
          <w:rFonts w:ascii="Verdana" w:hAnsi="Verdana" w:cs="Arial"/>
          <w:sz w:val="24"/>
          <w:szCs w:val="24"/>
        </w:rPr>
        <w:t>occupied</w:t>
      </w:r>
      <w:r w:rsidR="003D1B6E" w:rsidRPr="00F37FDE">
        <w:rPr>
          <w:rFonts w:ascii="Verdana" w:hAnsi="Verdana" w:cs="Arial"/>
          <w:sz w:val="24"/>
          <w:szCs w:val="24"/>
        </w:rPr>
        <w:t xml:space="preserve"> </w:t>
      </w:r>
      <w:r w:rsidR="000868FB" w:rsidRPr="00F37FDE">
        <w:rPr>
          <w:rFonts w:ascii="Verdana" w:hAnsi="Verdana" w:cs="Arial"/>
          <w:sz w:val="24"/>
          <w:szCs w:val="24"/>
        </w:rPr>
        <w:t>larger</w:t>
      </w:r>
      <w:r w:rsidR="003D1B6E" w:rsidRPr="00F37FDE">
        <w:rPr>
          <w:rFonts w:ascii="Verdana" w:hAnsi="Verdana" w:cs="Arial"/>
          <w:sz w:val="24"/>
          <w:szCs w:val="24"/>
        </w:rPr>
        <w:t xml:space="preserve"> </w:t>
      </w:r>
      <w:r w:rsidR="000868FB" w:rsidRPr="00F37FDE">
        <w:rPr>
          <w:rFonts w:ascii="Verdana" w:hAnsi="Verdana" w:cs="Arial"/>
          <w:sz w:val="24"/>
          <w:szCs w:val="24"/>
        </w:rPr>
        <w:t>properties</w:t>
      </w:r>
      <w:r w:rsidR="003D1B6E" w:rsidRPr="00F37FDE">
        <w:rPr>
          <w:rFonts w:ascii="Verdana" w:hAnsi="Verdana" w:cs="Arial"/>
          <w:sz w:val="24"/>
          <w:szCs w:val="24"/>
        </w:rPr>
        <w:t xml:space="preserve"> </w:t>
      </w:r>
      <w:r w:rsidR="000868FB" w:rsidRPr="00F37FDE">
        <w:rPr>
          <w:rFonts w:ascii="Verdana" w:hAnsi="Verdana" w:cs="Arial"/>
          <w:sz w:val="24"/>
          <w:szCs w:val="24"/>
        </w:rPr>
        <w:t>onto</w:t>
      </w:r>
      <w:r w:rsidR="003D1B6E" w:rsidRPr="00F37FDE">
        <w:rPr>
          <w:rFonts w:ascii="Verdana" w:hAnsi="Verdana" w:cs="Arial"/>
          <w:sz w:val="24"/>
          <w:szCs w:val="24"/>
        </w:rPr>
        <w:t xml:space="preserve"> </w:t>
      </w:r>
      <w:r w:rsidR="000868FB" w:rsidRPr="00F37FDE">
        <w:rPr>
          <w:rFonts w:ascii="Verdana" w:hAnsi="Verdana" w:cs="Arial"/>
          <w:sz w:val="24"/>
          <w:szCs w:val="24"/>
        </w:rPr>
        <w:t>the</w:t>
      </w:r>
      <w:r w:rsidR="003D1B6E" w:rsidRPr="00F37FDE">
        <w:rPr>
          <w:rFonts w:ascii="Verdana" w:hAnsi="Verdana" w:cs="Arial"/>
          <w:sz w:val="24"/>
          <w:szCs w:val="24"/>
        </w:rPr>
        <w:t xml:space="preserve"> </w:t>
      </w:r>
      <w:r w:rsidR="000868FB" w:rsidRPr="00F37FDE">
        <w:rPr>
          <w:rFonts w:ascii="Verdana" w:hAnsi="Verdana" w:cs="Arial"/>
          <w:sz w:val="24"/>
          <w:szCs w:val="24"/>
        </w:rPr>
        <w:t>market</w:t>
      </w:r>
      <w:r w:rsidR="003D1B6E" w:rsidRPr="00F37FDE">
        <w:rPr>
          <w:rFonts w:ascii="Verdana" w:hAnsi="Verdana" w:cs="Arial"/>
          <w:sz w:val="24"/>
          <w:szCs w:val="24"/>
        </w:rPr>
        <w:t xml:space="preserve"> </w:t>
      </w:r>
      <w:r w:rsidR="000868FB" w:rsidRPr="00F37FDE">
        <w:rPr>
          <w:rFonts w:ascii="Verdana" w:hAnsi="Verdana" w:cs="Arial"/>
          <w:sz w:val="24"/>
          <w:szCs w:val="24"/>
        </w:rPr>
        <w:t>which</w:t>
      </w:r>
      <w:r w:rsidR="003D1B6E" w:rsidRPr="00F37FDE">
        <w:rPr>
          <w:rFonts w:ascii="Verdana" w:hAnsi="Verdana" w:cs="Arial"/>
          <w:sz w:val="24"/>
          <w:szCs w:val="24"/>
        </w:rPr>
        <w:t xml:space="preserve"> </w:t>
      </w:r>
      <w:r w:rsidR="000868FB" w:rsidRPr="00F37FDE">
        <w:rPr>
          <w:rFonts w:ascii="Verdana" w:hAnsi="Verdana" w:cs="Arial"/>
          <w:sz w:val="24"/>
          <w:szCs w:val="24"/>
        </w:rPr>
        <w:t>would</w:t>
      </w:r>
      <w:r w:rsidR="003D1B6E" w:rsidRPr="00F37FDE">
        <w:rPr>
          <w:rFonts w:ascii="Verdana" w:hAnsi="Verdana" w:cs="Arial"/>
          <w:sz w:val="24"/>
          <w:szCs w:val="24"/>
        </w:rPr>
        <w:t xml:space="preserve"> </w:t>
      </w:r>
      <w:r w:rsidR="000868FB" w:rsidRPr="00F37FDE">
        <w:rPr>
          <w:rFonts w:ascii="Verdana" w:hAnsi="Verdana" w:cs="Arial"/>
          <w:sz w:val="24"/>
          <w:szCs w:val="24"/>
        </w:rPr>
        <w:t>be</w:t>
      </w:r>
      <w:r w:rsidR="003D1B6E" w:rsidRPr="00F37FDE">
        <w:rPr>
          <w:rFonts w:ascii="Verdana" w:hAnsi="Verdana" w:cs="Arial"/>
          <w:sz w:val="24"/>
          <w:szCs w:val="24"/>
        </w:rPr>
        <w:t xml:space="preserve"> </w:t>
      </w:r>
      <w:r w:rsidR="000868FB" w:rsidRPr="00F37FDE">
        <w:rPr>
          <w:rFonts w:ascii="Verdana" w:hAnsi="Verdana" w:cs="Arial"/>
          <w:sz w:val="24"/>
          <w:szCs w:val="24"/>
        </w:rPr>
        <w:t>suitable</w:t>
      </w:r>
      <w:r w:rsidR="003D1B6E" w:rsidRPr="00F37FDE">
        <w:rPr>
          <w:rFonts w:ascii="Verdana" w:hAnsi="Verdana" w:cs="Arial"/>
          <w:sz w:val="24"/>
          <w:szCs w:val="24"/>
        </w:rPr>
        <w:t xml:space="preserve"> </w:t>
      </w:r>
      <w:r w:rsidR="000868FB" w:rsidRPr="00F37FDE">
        <w:rPr>
          <w:rFonts w:ascii="Verdana" w:hAnsi="Verdana" w:cs="Arial"/>
          <w:sz w:val="24"/>
          <w:szCs w:val="24"/>
        </w:rPr>
        <w:t>for</w:t>
      </w:r>
      <w:r w:rsidR="003D1B6E" w:rsidRPr="00F37FDE">
        <w:rPr>
          <w:rFonts w:ascii="Verdana" w:hAnsi="Verdana" w:cs="Arial"/>
          <w:sz w:val="24"/>
          <w:szCs w:val="24"/>
        </w:rPr>
        <w:t xml:space="preserve"> </w:t>
      </w:r>
      <w:r w:rsidR="000868FB" w:rsidRPr="00F37FDE">
        <w:rPr>
          <w:rFonts w:ascii="Verdana" w:hAnsi="Verdana" w:cs="Arial"/>
          <w:sz w:val="24"/>
          <w:szCs w:val="24"/>
        </w:rPr>
        <w:t>growing</w:t>
      </w:r>
      <w:r w:rsidR="003D1B6E" w:rsidRPr="00F37FDE">
        <w:rPr>
          <w:rFonts w:ascii="Verdana" w:hAnsi="Verdana" w:cs="Arial"/>
          <w:sz w:val="24"/>
          <w:szCs w:val="24"/>
        </w:rPr>
        <w:t xml:space="preserve"> </w:t>
      </w:r>
      <w:r w:rsidR="000868FB" w:rsidRPr="00F37FDE">
        <w:rPr>
          <w:rFonts w:ascii="Verdana" w:hAnsi="Verdana" w:cs="Arial"/>
          <w:sz w:val="24"/>
          <w:szCs w:val="24"/>
        </w:rPr>
        <w:t>families.</w:t>
      </w:r>
      <w:r w:rsidR="003D1B6E" w:rsidRPr="00F37FDE">
        <w:rPr>
          <w:rFonts w:ascii="Verdana" w:hAnsi="Verdana" w:cs="Arial"/>
          <w:sz w:val="24"/>
          <w:szCs w:val="24"/>
        </w:rPr>
        <w:t xml:space="preserve"> </w:t>
      </w:r>
    </w:p>
    <w:p w14:paraId="74BF87BD" w14:textId="77777777" w:rsidR="00DF45BD" w:rsidRDefault="00DF45BD" w:rsidP="00DF45BD">
      <w:pPr>
        <w:pStyle w:val="NoSpacing"/>
        <w:spacing w:before="120"/>
        <w:jc w:val="both"/>
        <w:rPr>
          <w:rFonts w:ascii="Verdana" w:hAnsi="Verdana" w:cs="Arial"/>
          <w:sz w:val="24"/>
          <w:szCs w:val="24"/>
        </w:rPr>
      </w:pPr>
      <w:r w:rsidRPr="00AA5E91">
        <w:rPr>
          <w:rFonts w:ascii="Verdana" w:hAnsi="Verdana" w:cs="Arial"/>
          <w:sz w:val="24"/>
          <w:szCs w:val="24"/>
        </w:rPr>
        <w:t>There is a predominance of</w:t>
      </w:r>
      <w:r w:rsidR="001D53B1">
        <w:rPr>
          <w:rFonts w:ascii="Verdana" w:hAnsi="Verdana" w:cs="Arial"/>
          <w:sz w:val="24"/>
          <w:szCs w:val="24"/>
        </w:rPr>
        <w:t xml:space="preserve"> </w:t>
      </w:r>
      <w:r w:rsidR="00F95176">
        <w:rPr>
          <w:rFonts w:ascii="Verdana" w:hAnsi="Verdana" w:cs="Arial"/>
          <w:sz w:val="24"/>
          <w:szCs w:val="24"/>
        </w:rPr>
        <w:t>detached</w:t>
      </w:r>
      <w:r w:rsidR="001D53B1">
        <w:rPr>
          <w:rFonts w:ascii="Verdana" w:hAnsi="Verdana" w:cs="Arial"/>
          <w:sz w:val="24"/>
          <w:szCs w:val="24"/>
        </w:rPr>
        <w:t xml:space="preserve"> housing and</w:t>
      </w:r>
      <w:r w:rsidRPr="00AA5E91">
        <w:rPr>
          <w:rFonts w:ascii="Verdana" w:hAnsi="Verdana" w:cs="Arial"/>
          <w:sz w:val="24"/>
          <w:szCs w:val="24"/>
        </w:rPr>
        <w:t xml:space="preserve"> </w:t>
      </w:r>
      <w:r w:rsidR="002B448E" w:rsidRPr="00F37FDE">
        <w:rPr>
          <w:rFonts w:ascii="Verdana" w:hAnsi="Verdana" w:cs="Arial"/>
          <w:sz w:val="24"/>
          <w:szCs w:val="24"/>
        </w:rPr>
        <w:t xml:space="preserve">an under representation of </w:t>
      </w:r>
      <w:r w:rsidR="002B448E">
        <w:rPr>
          <w:rFonts w:ascii="Verdana" w:hAnsi="Verdana" w:cs="Arial"/>
          <w:sz w:val="24"/>
          <w:szCs w:val="24"/>
        </w:rPr>
        <w:t>housing for single people with just</w:t>
      </w:r>
      <w:r w:rsidR="002B448E" w:rsidRPr="00F37FDE">
        <w:rPr>
          <w:rFonts w:ascii="Verdana" w:hAnsi="Verdana" w:cs="Arial"/>
          <w:sz w:val="24"/>
          <w:szCs w:val="24"/>
        </w:rPr>
        <w:t xml:space="preserve"> </w:t>
      </w:r>
      <w:r w:rsidR="002B448E">
        <w:rPr>
          <w:rFonts w:ascii="Verdana" w:hAnsi="Verdana" w:cs="Arial"/>
          <w:sz w:val="24"/>
          <w:szCs w:val="24"/>
        </w:rPr>
        <w:t>3</w:t>
      </w:r>
      <w:r w:rsidR="002B448E" w:rsidRPr="00F37FDE">
        <w:rPr>
          <w:rFonts w:ascii="Verdana" w:hAnsi="Verdana" w:cs="Arial"/>
          <w:sz w:val="24"/>
          <w:szCs w:val="24"/>
        </w:rPr>
        <w:t xml:space="preserve">% of dwellings having </w:t>
      </w:r>
      <w:r w:rsidR="002B448E">
        <w:rPr>
          <w:rFonts w:ascii="Verdana" w:hAnsi="Verdana" w:cs="Arial"/>
          <w:sz w:val="24"/>
          <w:szCs w:val="24"/>
        </w:rPr>
        <w:t>one</w:t>
      </w:r>
      <w:r w:rsidR="002B448E" w:rsidRPr="00F37FDE">
        <w:rPr>
          <w:rFonts w:ascii="Verdana" w:hAnsi="Verdana" w:cs="Arial"/>
          <w:sz w:val="24"/>
          <w:szCs w:val="24"/>
        </w:rPr>
        <w:t xml:space="preserve"> bedroom</w:t>
      </w:r>
      <w:r w:rsidR="002B448E">
        <w:rPr>
          <w:rFonts w:ascii="Verdana" w:hAnsi="Verdana" w:cs="Arial"/>
          <w:sz w:val="24"/>
          <w:szCs w:val="24"/>
        </w:rPr>
        <w:t xml:space="preserve">. </w:t>
      </w:r>
    </w:p>
    <w:p w14:paraId="72C746A2" w14:textId="77777777" w:rsidR="000F20B1" w:rsidRDefault="000F20B1" w:rsidP="00DF45BD">
      <w:pPr>
        <w:pStyle w:val="NoSpacing"/>
        <w:spacing w:before="120"/>
        <w:jc w:val="both"/>
        <w:rPr>
          <w:rFonts w:ascii="Verdana" w:hAnsi="Verdana" w:cs="Arial"/>
          <w:sz w:val="24"/>
          <w:szCs w:val="24"/>
        </w:rPr>
      </w:pPr>
      <w:r>
        <w:rPr>
          <w:rFonts w:ascii="Verdana" w:hAnsi="Verdana" w:cs="Arial"/>
          <w:sz w:val="24"/>
          <w:szCs w:val="24"/>
        </w:rPr>
        <w:t xml:space="preserve">Land Registry </w:t>
      </w:r>
      <w:r w:rsidR="00F82A22">
        <w:rPr>
          <w:rFonts w:ascii="Verdana" w:hAnsi="Verdana" w:cs="Arial"/>
          <w:sz w:val="24"/>
          <w:szCs w:val="24"/>
        </w:rPr>
        <w:t>and council tax</w:t>
      </w:r>
      <w:r>
        <w:rPr>
          <w:rFonts w:ascii="Verdana" w:hAnsi="Verdana" w:cs="Arial"/>
          <w:sz w:val="24"/>
          <w:szCs w:val="24"/>
        </w:rPr>
        <w:t xml:space="preserve"> data indicates </w:t>
      </w:r>
      <w:r w:rsidR="002B448E">
        <w:rPr>
          <w:rFonts w:ascii="Verdana" w:hAnsi="Verdana" w:cs="Arial"/>
          <w:sz w:val="24"/>
          <w:szCs w:val="24"/>
        </w:rPr>
        <w:t>there has been very little new build housing market activity over recent years.</w:t>
      </w:r>
    </w:p>
    <w:p w14:paraId="61EDA11F" w14:textId="77777777" w:rsidR="00B72214" w:rsidRDefault="0056566D" w:rsidP="00DF45BD">
      <w:pPr>
        <w:pStyle w:val="NoSpacing"/>
        <w:spacing w:before="120"/>
        <w:jc w:val="both"/>
        <w:rPr>
          <w:rFonts w:ascii="Verdana" w:hAnsi="Verdana" w:cs="Arial"/>
          <w:sz w:val="24"/>
          <w:szCs w:val="24"/>
        </w:rPr>
      </w:pPr>
      <w:r>
        <w:rPr>
          <w:rFonts w:ascii="Verdana" w:hAnsi="Verdana" w:cs="Arial"/>
          <w:sz w:val="24"/>
          <w:szCs w:val="24"/>
        </w:rPr>
        <w:t xml:space="preserve">Deprivation is not a significant issue in the </w:t>
      </w:r>
      <w:r w:rsidR="00F64A4F">
        <w:rPr>
          <w:rFonts w:ascii="Verdana" w:hAnsi="Verdana" w:cs="Arial"/>
          <w:sz w:val="24"/>
          <w:szCs w:val="24"/>
        </w:rPr>
        <w:t>local area</w:t>
      </w:r>
      <w:r w:rsidR="000F20B1">
        <w:rPr>
          <w:rFonts w:ascii="Verdana" w:hAnsi="Verdana" w:cs="Arial"/>
          <w:sz w:val="24"/>
          <w:szCs w:val="24"/>
        </w:rPr>
        <w:t xml:space="preserve"> </w:t>
      </w:r>
      <w:r w:rsidR="00F82A22">
        <w:rPr>
          <w:rFonts w:ascii="Verdana" w:hAnsi="Verdana" w:cs="Arial"/>
          <w:sz w:val="24"/>
          <w:szCs w:val="24"/>
        </w:rPr>
        <w:t>but</w:t>
      </w:r>
      <w:r w:rsidR="007356EC">
        <w:rPr>
          <w:rFonts w:ascii="Verdana" w:hAnsi="Verdana" w:cs="Arial"/>
          <w:sz w:val="24"/>
          <w:szCs w:val="24"/>
        </w:rPr>
        <w:t xml:space="preserve"> </w:t>
      </w:r>
      <w:r w:rsidR="00B72214">
        <w:rPr>
          <w:rFonts w:ascii="Verdana" w:hAnsi="Verdana" w:cs="Arial"/>
          <w:sz w:val="24"/>
          <w:szCs w:val="24"/>
        </w:rPr>
        <w:t xml:space="preserve">the </w:t>
      </w:r>
      <w:r w:rsidR="003B1D2A">
        <w:rPr>
          <w:rFonts w:ascii="Verdana" w:hAnsi="Verdana" w:cs="Arial"/>
          <w:sz w:val="24"/>
          <w:szCs w:val="24"/>
        </w:rPr>
        <w:t xml:space="preserve">area’s relatively </w:t>
      </w:r>
      <w:r w:rsidR="00B72214">
        <w:rPr>
          <w:rFonts w:ascii="Verdana" w:hAnsi="Verdana" w:cs="Arial"/>
          <w:sz w:val="24"/>
          <w:szCs w:val="24"/>
        </w:rPr>
        <w:t xml:space="preserve">high ranking in the </w:t>
      </w:r>
      <w:r w:rsidR="00B72214" w:rsidRPr="00CA0343">
        <w:rPr>
          <w:rFonts w:ascii="Verdana" w:hAnsi="Verdana" w:cs="Arial"/>
          <w:sz w:val="24"/>
          <w:szCs w:val="24"/>
        </w:rPr>
        <w:t xml:space="preserve">Barriers to Housing and Services </w:t>
      </w:r>
      <w:r w:rsidR="00B72214">
        <w:rPr>
          <w:rFonts w:ascii="Verdana" w:hAnsi="Verdana" w:cs="Arial"/>
          <w:sz w:val="24"/>
          <w:szCs w:val="24"/>
        </w:rPr>
        <w:t>domain of the 2015 Indices of Deprivation suggests</w:t>
      </w:r>
      <w:r w:rsidR="003B1D2A">
        <w:rPr>
          <w:rFonts w:ascii="Verdana" w:hAnsi="Verdana" w:cs="Arial"/>
          <w:sz w:val="24"/>
          <w:szCs w:val="24"/>
        </w:rPr>
        <w:t xml:space="preserve"> that</w:t>
      </w:r>
      <w:r w:rsidR="00B72214">
        <w:rPr>
          <w:rFonts w:ascii="Verdana" w:hAnsi="Verdana" w:cs="Arial"/>
          <w:sz w:val="24"/>
          <w:szCs w:val="24"/>
        </w:rPr>
        <w:t xml:space="preserve"> some residents may find it </w:t>
      </w:r>
      <w:r w:rsidR="00035BD2">
        <w:rPr>
          <w:rFonts w:ascii="Verdana" w:hAnsi="Verdana" w:cs="Arial"/>
          <w:sz w:val="24"/>
          <w:szCs w:val="24"/>
        </w:rPr>
        <w:t xml:space="preserve">difficult </w:t>
      </w:r>
      <w:r w:rsidR="00B72214" w:rsidRPr="00B65486">
        <w:rPr>
          <w:rFonts w:ascii="Verdana" w:hAnsi="Verdana" w:cs="Arial"/>
          <w:sz w:val="24"/>
          <w:szCs w:val="24"/>
        </w:rPr>
        <w:t>to access owner-occupation or</w:t>
      </w:r>
      <w:r w:rsidR="00035BD2">
        <w:rPr>
          <w:rFonts w:ascii="Verdana" w:hAnsi="Verdana" w:cs="Arial"/>
          <w:sz w:val="24"/>
          <w:szCs w:val="24"/>
        </w:rPr>
        <w:t xml:space="preserve"> access</w:t>
      </w:r>
      <w:r w:rsidR="00B72214" w:rsidRPr="00B65486">
        <w:rPr>
          <w:rFonts w:ascii="Verdana" w:hAnsi="Verdana" w:cs="Arial"/>
          <w:sz w:val="24"/>
          <w:szCs w:val="24"/>
        </w:rPr>
        <w:t xml:space="preserve"> the private rental market</w:t>
      </w:r>
      <w:r w:rsidR="00B72214">
        <w:rPr>
          <w:rFonts w:ascii="Helvetica" w:hAnsi="Helvetica" w:cs="Helvetica"/>
          <w:color w:val="000000"/>
        </w:rPr>
        <w:t>.</w:t>
      </w:r>
    </w:p>
    <w:p w14:paraId="744B0E3B" w14:textId="77777777" w:rsidR="00F82A22" w:rsidRDefault="00F82A22" w:rsidP="00DF45BD">
      <w:pPr>
        <w:pStyle w:val="NoSpacing"/>
        <w:spacing w:before="120"/>
        <w:jc w:val="both"/>
        <w:rPr>
          <w:rFonts w:ascii="Verdana" w:hAnsi="Verdana" w:cs="Arial"/>
          <w:sz w:val="24"/>
          <w:szCs w:val="24"/>
        </w:rPr>
      </w:pPr>
    </w:p>
    <w:sectPr w:rsidR="00F82A22" w:rsidSect="00EA76E2">
      <w:headerReference w:type="default" r:id="rId19"/>
      <w:footerReference w:type="default" r:id="rId20"/>
      <w:pgSz w:w="11906" w:h="16838"/>
      <w:pgMar w:top="1135" w:right="1440" w:bottom="851"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4036" w14:textId="77777777" w:rsidR="00A72698" w:rsidRDefault="00A72698" w:rsidP="004F2E4B">
      <w:pPr>
        <w:spacing w:after="0" w:line="240" w:lineRule="auto"/>
      </w:pPr>
      <w:r>
        <w:separator/>
      </w:r>
    </w:p>
  </w:endnote>
  <w:endnote w:type="continuationSeparator" w:id="0">
    <w:p w14:paraId="76A4676E" w14:textId="77777777" w:rsidR="00A72698" w:rsidRDefault="00A72698" w:rsidP="004F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8CB1" w14:textId="10CEC3BB" w:rsidR="004D6433" w:rsidRPr="00F06BF2" w:rsidRDefault="004D6433" w:rsidP="00FC6D97">
    <w:pPr>
      <w:pStyle w:val="Footer"/>
      <w:pBdr>
        <w:top w:val="dashDotStroked" w:sz="24" w:space="0" w:color="auto"/>
      </w:pBdr>
      <w:rPr>
        <w:rFonts w:ascii="Verdana" w:hAnsi="Verdana"/>
      </w:rPr>
    </w:pPr>
    <w:r>
      <w:rPr>
        <w:rFonts w:ascii="Verdana" w:hAnsi="Verdana"/>
      </w:rPr>
      <w:t>Blackfordby Local Area</w:t>
    </w:r>
    <w:r w:rsidRPr="00F06BF2">
      <w:rPr>
        <w:rFonts w:ascii="Verdana" w:hAnsi="Verdana"/>
      </w:rPr>
      <w:t xml:space="preserve"> Housing Need Evidence, </w:t>
    </w:r>
    <w:r w:rsidR="000B4EFC">
      <w:rPr>
        <w:rFonts w:ascii="Verdana" w:hAnsi="Verdana"/>
      </w:rPr>
      <w:t>11.8.21</w:t>
    </w:r>
    <w:r>
      <w:rPr>
        <w:rFonts w:ascii="Verdana" w:hAnsi="Verdana"/>
      </w:rPr>
      <w:t xml:space="preserve"> V1</w:t>
    </w:r>
    <w:r w:rsidR="000B4EFC">
      <w:rPr>
        <w:rFonts w:ascii="Verdana" w:hAnsi="Verdan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5C98" w14:textId="77777777" w:rsidR="00A72698" w:rsidRDefault="00A72698" w:rsidP="004F2E4B">
      <w:pPr>
        <w:spacing w:after="0" w:line="240" w:lineRule="auto"/>
      </w:pPr>
      <w:r>
        <w:separator/>
      </w:r>
    </w:p>
  </w:footnote>
  <w:footnote w:type="continuationSeparator" w:id="0">
    <w:p w14:paraId="606E9750" w14:textId="77777777" w:rsidR="00A72698" w:rsidRDefault="00A72698" w:rsidP="004F2E4B">
      <w:pPr>
        <w:spacing w:after="0" w:line="240" w:lineRule="auto"/>
      </w:pPr>
      <w:r>
        <w:continuationSeparator/>
      </w:r>
    </w:p>
  </w:footnote>
  <w:footnote w:id="1">
    <w:p w14:paraId="2F60279A" w14:textId="77777777" w:rsidR="004D6433" w:rsidRDefault="004D6433" w:rsidP="00D467F7">
      <w:pPr>
        <w:pStyle w:val="FootnoteText"/>
      </w:pPr>
      <w:r>
        <w:rPr>
          <w:rStyle w:val="FootnoteReference"/>
        </w:rPr>
        <w:footnoteRef/>
      </w:r>
      <w:r>
        <w:t xml:space="preserve"> </w:t>
      </w:r>
      <w:r w:rsidRPr="00BD4844">
        <w:rPr>
          <w:lang w:val="en"/>
        </w:rPr>
        <w:t>Subnational Population Projections for Local Authorities in England</w:t>
      </w:r>
      <w:r w:rsidRPr="00BD4844">
        <w:t>: 2014 based</w:t>
      </w:r>
    </w:p>
  </w:footnote>
  <w:footnote w:id="2">
    <w:p w14:paraId="16DBFC17" w14:textId="77777777" w:rsidR="004D6433" w:rsidRDefault="004D6433" w:rsidP="00623DB9">
      <w:pPr>
        <w:pStyle w:val="FootnoteText"/>
      </w:pPr>
      <w:r>
        <w:rPr>
          <w:rStyle w:val="FootnoteReference"/>
        </w:rPr>
        <w:footnoteRef/>
      </w:r>
      <w:r>
        <w:t xml:space="preserve"> </w:t>
      </w:r>
      <w:r w:rsidRPr="00B67426">
        <w:t>The term ‘entry level’ or ‘low to mid-priced property’ refers to the lower quartile price paid for residential properties. If all properties sold in a year were ranked from highest to lowest, this would be the value half way between the bottom and the middle.</w:t>
      </w:r>
    </w:p>
  </w:footnote>
  <w:footnote w:id="3">
    <w:p w14:paraId="1062BA3A" w14:textId="77777777" w:rsidR="004D6433" w:rsidRDefault="004D6433" w:rsidP="00623DB9">
      <w:pPr>
        <w:pStyle w:val="FootnoteText"/>
      </w:pPr>
      <w:r>
        <w:rPr>
          <w:rStyle w:val="FootnoteReference"/>
        </w:rPr>
        <w:footnoteRef/>
      </w:r>
      <w:r>
        <w:t xml:space="preserve"> </w:t>
      </w:r>
      <w:r w:rsidRPr="00B67426">
        <w:t xml:space="preserve">Property price data are for year ending June 2016 and are from </w:t>
      </w:r>
      <w:hyperlink r:id="rId1" w:tgtFrame="_blank" w:history="1">
        <w:r w:rsidRPr="00B67426">
          <w:t>House Price Statistics for Small Areas.</w:t>
        </w:r>
      </w:hyperlink>
      <w:r w:rsidRPr="00B67426">
        <w:t xml:space="preserve"> Income data are for financial year ending 2014 and are from</w:t>
      </w:r>
      <w:r w:rsidRPr="00BA7CD4">
        <w:rPr>
          <w:rFonts w:cstheme="minorHAnsi"/>
          <w:color w:val="414042"/>
          <w:lang w:val="en-US"/>
        </w:rPr>
        <w:t xml:space="preserve"> </w:t>
      </w:r>
      <w:hyperlink r:id="rId2" w:tgtFrame="_blank" w:history="1">
        <w:r w:rsidRPr="00BA7CD4">
          <w:rPr>
            <w:rStyle w:val="Hyperlink"/>
            <w:rFonts w:cstheme="minorHAnsi"/>
            <w:lang w:val="en-US"/>
          </w:rPr>
          <w:t xml:space="preserve">small area model-based income estimates. </w:t>
        </w:r>
      </w:hyperlink>
    </w:p>
  </w:footnote>
  <w:footnote w:id="4">
    <w:p w14:paraId="368EFB91" w14:textId="05132DF8" w:rsidR="004D6433" w:rsidRDefault="004D6433" w:rsidP="00623DB9">
      <w:pPr>
        <w:pStyle w:val="FootnoteText"/>
      </w:pPr>
      <w:r>
        <w:rPr>
          <w:rStyle w:val="FootnoteReference"/>
        </w:rPr>
        <w:footnoteRef/>
      </w:r>
      <w:r>
        <w:t xml:space="preserve"> </w:t>
      </w:r>
      <w:r w:rsidRPr="009F2010">
        <w:t xml:space="preserve">The Blackfordby Local area </w:t>
      </w:r>
      <w:r w:rsidRPr="009F2010">
        <w:t>area is based on MSOA best fit (</w:t>
      </w:r>
      <w:r w:rsidR="009F2010" w:rsidRPr="009F2010">
        <w:t>E02005404</w:t>
      </w:r>
      <w:r w:rsidRPr="009F2010">
        <w:t>) which also takes in some neighbouring villages (</w:t>
      </w:r>
      <w:r w:rsidR="009F2010" w:rsidRPr="009F2010">
        <w:t>Norris Hill, Moira, Donisthorpe and Oakthorpe).</w:t>
      </w:r>
    </w:p>
  </w:footnote>
  <w:footnote w:id="5">
    <w:p w14:paraId="2655C1DE" w14:textId="77777777" w:rsidR="004D6433" w:rsidRDefault="004D6433" w:rsidP="00623DB9">
      <w:pPr>
        <w:pStyle w:val="FootnoteText"/>
      </w:pPr>
      <w:r>
        <w:rPr>
          <w:rStyle w:val="FootnoteReference"/>
        </w:rPr>
        <w:footnoteRef/>
      </w:r>
      <w:r>
        <w:t xml:space="preserve"> </w:t>
      </w:r>
      <w:hyperlink r:id="rId3" w:tgtFrame="_blank" w:history="1">
        <w:r w:rsidRPr="00BA7CD4">
          <w:rPr>
            <w:rStyle w:val="Hyperlink"/>
            <w:rFonts w:cstheme="minorHAnsi"/>
            <w:lang w:val="en-US"/>
          </w:rPr>
          <w:t xml:space="preserve">Data from the Council of Mortgage Lenders </w:t>
        </w:r>
      </w:hyperlink>
      <w:r w:rsidRPr="00B67426">
        <w:t>suggest that the average deposit paid by first-time buyers in the UK was around 18% in December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F459" w14:textId="77777777" w:rsidR="004D6433" w:rsidRDefault="00ED193C">
    <w:pPr>
      <w:pStyle w:val="Header"/>
    </w:pPr>
    <w:sdt>
      <w:sdtPr>
        <w:id w:val="-1085842993"/>
        <w:docPartObj>
          <w:docPartGallery w:val="Page Numbers (Margins)"/>
          <w:docPartUnique/>
        </w:docPartObj>
      </w:sdtPr>
      <w:sdtEndPr/>
      <w:sdtContent>
        <w:r w:rsidR="004D6433">
          <w:rPr>
            <w:noProof/>
            <w:lang w:eastAsia="en-GB"/>
          </w:rPr>
          <mc:AlternateContent>
            <mc:Choice Requires="wps">
              <w:drawing>
                <wp:anchor distT="0" distB="0" distL="114300" distR="114300" simplePos="0" relativeHeight="251657216" behindDoc="0" locked="0" layoutInCell="0" allowOverlap="1" wp14:anchorId="76AFABAC" wp14:editId="4C59E2D7">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2677" w14:textId="77777777" w:rsidR="004D6433" w:rsidRDefault="004D643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75D2E" w:rsidRPr="00675D2E">
                                <w:rPr>
                                  <w:rFonts w:asciiTheme="majorHAnsi" w:eastAsiaTheme="majorEastAsia" w:hAnsiTheme="majorHAnsi" w:cstheme="majorBidi"/>
                                  <w:noProof/>
                                  <w:sz w:val="44"/>
                                  <w:szCs w:val="44"/>
                                </w:rPr>
                                <w:t>13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AFABAC" id="Rectangle 2" o:spid="_x0000_s1030"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79CB2677" w14:textId="77777777" w:rsidR="004D6433" w:rsidRDefault="004D643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75D2E" w:rsidRPr="00675D2E">
                          <w:rPr>
                            <w:rFonts w:asciiTheme="majorHAnsi" w:eastAsiaTheme="majorEastAsia" w:hAnsiTheme="majorHAnsi" w:cstheme="majorBidi"/>
                            <w:noProof/>
                            <w:sz w:val="44"/>
                            <w:szCs w:val="44"/>
                          </w:rPr>
                          <w:t>13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C27"/>
    <w:multiLevelType w:val="hybridMultilevel"/>
    <w:tmpl w:val="EB5E08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786D3FF6"/>
    <w:multiLevelType w:val="hybridMultilevel"/>
    <w:tmpl w:val="0BB6B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63"/>
    <w:rsid w:val="00000542"/>
    <w:rsid w:val="00003011"/>
    <w:rsid w:val="00004E38"/>
    <w:rsid w:val="000063C5"/>
    <w:rsid w:val="00007310"/>
    <w:rsid w:val="00007C25"/>
    <w:rsid w:val="000121A2"/>
    <w:rsid w:val="00017CAA"/>
    <w:rsid w:val="00024D6A"/>
    <w:rsid w:val="0002573E"/>
    <w:rsid w:val="000324E9"/>
    <w:rsid w:val="00035017"/>
    <w:rsid w:val="00035BD2"/>
    <w:rsid w:val="0003722E"/>
    <w:rsid w:val="000376F9"/>
    <w:rsid w:val="00043161"/>
    <w:rsid w:val="00046D81"/>
    <w:rsid w:val="0004786B"/>
    <w:rsid w:val="00051F86"/>
    <w:rsid w:val="0005218D"/>
    <w:rsid w:val="000534A7"/>
    <w:rsid w:val="000561EC"/>
    <w:rsid w:val="00057C5F"/>
    <w:rsid w:val="0006016F"/>
    <w:rsid w:val="000608E8"/>
    <w:rsid w:val="000613A1"/>
    <w:rsid w:val="000649B8"/>
    <w:rsid w:val="0007579D"/>
    <w:rsid w:val="000768A9"/>
    <w:rsid w:val="00083D93"/>
    <w:rsid w:val="0008457C"/>
    <w:rsid w:val="000868FB"/>
    <w:rsid w:val="00086937"/>
    <w:rsid w:val="00092B04"/>
    <w:rsid w:val="00095ECF"/>
    <w:rsid w:val="000A1BDA"/>
    <w:rsid w:val="000A1F91"/>
    <w:rsid w:val="000A5E88"/>
    <w:rsid w:val="000A5F7D"/>
    <w:rsid w:val="000A5FD9"/>
    <w:rsid w:val="000A70D2"/>
    <w:rsid w:val="000A76E3"/>
    <w:rsid w:val="000A7A81"/>
    <w:rsid w:val="000B322F"/>
    <w:rsid w:val="000B398C"/>
    <w:rsid w:val="000B3C63"/>
    <w:rsid w:val="000B3E50"/>
    <w:rsid w:val="000B4434"/>
    <w:rsid w:val="000B4EFC"/>
    <w:rsid w:val="000C5D0A"/>
    <w:rsid w:val="000D01CA"/>
    <w:rsid w:val="000D02B7"/>
    <w:rsid w:val="000D441D"/>
    <w:rsid w:val="000D506A"/>
    <w:rsid w:val="000D6306"/>
    <w:rsid w:val="000D7C80"/>
    <w:rsid w:val="000E3FBB"/>
    <w:rsid w:val="000F1E62"/>
    <w:rsid w:val="000F20B1"/>
    <w:rsid w:val="000F23DA"/>
    <w:rsid w:val="000F33AA"/>
    <w:rsid w:val="000F4C77"/>
    <w:rsid w:val="000F4DB3"/>
    <w:rsid w:val="000F5D53"/>
    <w:rsid w:val="00100FF9"/>
    <w:rsid w:val="001050B6"/>
    <w:rsid w:val="00106F4C"/>
    <w:rsid w:val="00107BA4"/>
    <w:rsid w:val="001104AC"/>
    <w:rsid w:val="001117A4"/>
    <w:rsid w:val="00117826"/>
    <w:rsid w:val="001206B8"/>
    <w:rsid w:val="00123638"/>
    <w:rsid w:val="00124557"/>
    <w:rsid w:val="0012615E"/>
    <w:rsid w:val="001318D6"/>
    <w:rsid w:val="00131C15"/>
    <w:rsid w:val="001325BF"/>
    <w:rsid w:val="0013432D"/>
    <w:rsid w:val="001379C9"/>
    <w:rsid w:val="00145C70"/>
    <w:rsid w:val="00145D2E"/>
    <w:rsid w:val="00147CCD"/>
    <w:rsid w:val="001507B5"/>
    <w:rsid w:val="001514CE"/>
    <w:rsid w:val="00156D99"/>
    <w:rsid w:val="00157CDA"/>
    <w:rsid w:val="00161FE4"/>
    <w:rsid w:val="00162A3F"/>
    <w:rsid w:val="00162EBC"/>
    <w:rsid w:val="001642EC"/>
    <w:rsid w:val="00165521"/>
    <w:rsid w:val="00165ABB"/>
    <w:rsid w:val="001668D9"/>
    <w:rsid w:val="00166C80"/>
    <w:rsid w:val="00173A92"/>
    <w:rsid w:val="00176888"/>
    <w:rsid w:val="001777B1"/>
    <w:rsid w:val="00177A26"/>
    <w:rsid w:val="00180891"/>
    <w:rsid w:val="00181BC7"/>
    <w:rsid w:val="001849F8"/>
    <w:rsid w:val="00184B1B"/>
    <w:rsid w:val="0019080C"/>
    <w:rsid w:val="00193F6D"/>
    <w:rsid w:val="00194840"/>
    <w:rsid w:val="001A7A9F"/>
    <w:rsid w:val="001C020C"/>
    <w:rsid w:val="001D2845"/>
    <w:rsid w:val="001D49BF"/>
    <w:rsid w:val="001D53B1"/>
    <w:rsid w:val="001E0946"/>
    <w:rsid w:val="001F1766"/>
    <w:rsid w:val="001F3A76"/>
    <w:rsid w:val="001F3E72"/>
    <w:rsid w:val="00204B5E"/>
    <w:rsid w:val="00211EDA"/>
    <w:rsid w:val="00216750"/>
    <w:rsid w:val="0022047B"/>
    <w:rsid w:val="00221C7C"/>
    <w:rsid w:val="0022622E"/>
    <w:rsid w:val="002307B1"/>
    <w:rsid w:val="00230BDE"/>
    <w:rsid w:val="00233A4D"/>
    <w:rsid w:val="00236830"/>
    <w:rsid w:val="00240465"/>
    <w:rsid w:val="002407BA"/>
    <w:rsid w:val="00242772"/>
    <w:rsid w:val="00242966"/>
    <w:rsid w:val="00243DDB"/>
    <w:rsid w:val="00244CE4"/>
    <w:rsid w:val="00247953"/>
    <w:rsid w:val="002519F9"/>
    <w:rsid w:val="00252A21"/>
    <w:rsid w:val="0025505A"/>
    <w:rsid w:val="0025637B"/>
    <w:rsid w:val="0026244D"/>
    <w:rsid w:val="00265157"/>
    <w:rsid w:val="00272152"/>
    <w:rsid w:val="00272A56"/>
    <w:rsid w:val="00276142"/>
    <w:rsid w:val="00277304"/>
    <w:rsid w:val="0027773E"/>
    <w:rsid w:val="00283840"/>
    <w:rsid w:val="00285C34"/>
    <w:rsid w:val="00287505"/>
    <w:rsid w:val="00287DCF"/>
    <w:rsid w:val="00292563"/>
    <w:rsid w:val="002940D0"/>
    <w:rsid w:val="002A58AE"/>
    <w:rsid w:val="002B424F"/>
    <w:rsid w:val="002B448E"/>
    <w:rsid w:val="002B603A"/>
    <w:rsid w:val="002B703C"/>
    <w:rsid w:val="002C412E"/>
    <w:rsid w:val="002C4511"/>
    <w:rsid w:val="002C61D2"/>
    <w:rsid w:val="002C67B5"/>
    <w:rsid w:val="002C72BA"/>
    <w:rsid w:val="002D235D"/>
    <w:rsid w:val="002D3031"/>
    <w:rsid w:val="002D614E"/>
    <w:rsid w:val="002D7032"/>
    <w:rsid w:val="002E7219"/>
    <w:rsid w:val="002F6F8D"/>
    <w:rsid w:val="0030008B"/>
    <w:rsid w:val="0030522D"/>
    <w:rsid w:val="00332865"/>
    <w:rsid w:val="00333D4B"/>
    <w:rsid w:val="003368F2"/>
    <w:rsid w:val="00337610"/>
    <w:rsid w:val="00346649"/>
    <w:rsid w:val="00347FA4"/>
    <w:rsid w:val="003509C8"/>
    <w:rsid w:val="003578CF"/>
    <w:rsid w:val="00360321"/>
    <w:rsid w:val="00360BA5"/>
    <w:rsid w:val="00361D94"/>
    <w:rsid w:val="00362C73"/>
    <w:rsid w:val="00363D27"/>
    <w:rsid w:val="00367F90"/>
    <w:rsid w:val="00370F01"/>
    <w:rsid w:val="00377512"/>
    <w:rsid w:val="00383F45"/>
    <w:rsid w:val="00384C99"/>
    <w:rsid w:val="00385644"/>
    <w:rsid w:val="003859F1"/>
    <w:rsid w:val="003908B8"/>
    <w:rsid w:val="003908FD"/>
    <w:rsid w:val="0039264D"/>
    <w:rsid w:val="00395846"/>
    <w:rsid w:val="00395E12"/>
    <w:rsid w:val="00396B3B"/>
    <w:rsid w:val="003A5914"/>
    <w:rsid w:val="003A728A"/>
    <w:rsid w:val="003B080C"/>
    <w:rsid w:val="003B10C9"/>
    <w:rsid w:val="003B1D2A"/>
    <w:rsid w:val="003B506F"/>
    <w:rsid w:val="003B5133"/>
    <w:rsid w:val="003B7A0B"/>
    <w:rsid w:val="003C0BB8"/>
    <w:rsid w:val="003C2E53"/>
    <w:rsid w:val="003C485A"/>
    <w:rsid w:val="003C77EA"/>
    <w:rsid w:val="003D04A0"/>
    <w:rsid w:val="003D1B6E"/>
    <w:rsid w:val="003D44BD"/>
    <w:rsid w:val="003E0D4E"/>
    <w:rsid w:val="003E5B64"/>
    <w:rsid w:val="003E78ED"/>
    <w:rsid w:val="003F0CD4"/>
    <w:rsid w:val="003F4EDA"/>
    <w:rsid w:val="003F70D2"/>
    <w:rsid w:val="003F7A17"/>
    <w:rsid w:val="004009D0"/>
    <w:rsid w:val="004043DC"/>
    <w:rsid w:val="004055DB"/>
    <w:rsid w:val="00405FD8"/>
    <w:rsid w:val="00413863"/>
    <w:rsid w:val="00431740"/>
    <w:rsid w:val="00450775"/>
    <w:rsid w:val="0045177B"/>
    <w:rsid w:val="00451B1E"/>
    <w:rsid w:val="004538AA"/>
    <w:rsid w:val="00456E15"/>
    <w:rsid w:val="00463ADC"/>
    <w:rsid w:val="00466027"/>
    <w:rsid w:val="00471618"/>
    <w:rsid w:val="004729FA"/>
    <w:rsid w:val="004752E9"/>
    <w:rsid w:val="00475BF3"/>
    <w:rsid w:val="00477944"/>
    <w:rsid w:val="00483B1C"/>
    <w:rsid w:val="0048567E"/>
    <w:rsid w:val="00490937"/>
    <w:rsid w:val="00491379"/>
    <w:rsid w:val="004A093F"/>
    <w:rsid w:val="004A3D53"/>
    <w:rsid w:val="004C695F"/>
    <w:rsid w:val="004D42EC"/>
    <w:rsid w:val="004D6433"/>
    <w:rsid w:val="004D7E3D"/>
    <w:rsid w:val="004E7A3D"/>
    <w:rsid w:val="004F2E4B"/>
    <w:rsid w:val="004F6709"/>
    <w:rsid w:val="004F6C01"/>
    <w:rsid w:val="00506F22"/>
    <w:rsid w:val="00512E61"/>
    <w:rsid w:val="0051560A"/>
    <w:rsid w:val="005217D8"/>
    <w:rsid w:val="00536843"/>
    <w:rsid w:val="00540856"/>
    <w:rsid w:val="0054152A"/>
    <w:rsid w:val="00545BAE"/>
    <w:rsid w:val="0054616C"/>
    <w:rsid w:val="0055289C"/>
    <w:rsid w:val="00556B37"/>
    <w:rsid w:val="00556EF2"/>
    <w:rsid w:val="00561C83"/>
    <w:rsid w:val="005634D1"/>
    <w:rsid w:val="00563649"/>
    <w:rsid w:val="005651F3"/>
    <w:rsid w:val="0056566D"/>
    <w:rsid w:val="00567DA9"/>
    <w:rsid w:val="005762C5"/>
    <w:rsid w:val="005822B8"/>
    <w:rsid w:val="0058511E"/>
    <w:rsid w:val="00586D5E"/>
    <w:rsid w:val="0059692D"/>
    <w:rsid w:val="005A0BB5"/>
    <w:rsid w:val="005A39A9"/>
    <w:rsid w:val="005B03F9"/>
    <w:rsid w:val="005B1332"/>
    <w:rsid w:val="005B31EF"/>
    <w:rsid w:val="005B37D0"/>
    <w:rsid w:val="005B5AD1"/>
    <w:rsid w:val="005B6107"/>
    <w:rsid w:val="005B6575"/>
    <w:rsid w:val="005C16A2"/>
    <w:rsid w:val="005C1A7E"/>
    <w:rsid w:val="005C2DF9"/>
    <w:rsid w:val="005C6572"/>
    <w:rsid w:val="005D272B"/>
    <w:rsid w:val="005D5522"/>
    <w:rsid w:val="005E485D"/>
    <w:rsid w:val="005E5471"/>
    <w:rsid w:val="005E59D7"/>
    <w:rsid w:val="005F6DAE"/>
    <w:rsid w:val="00600F7E"/>
    <w:rsid w:val="00601159"/>
    <w:rsid w:val="00603A25"/>
    <w:rsid w:val="00606928"/>
    <w:rsid w:val="00611F12"/>
    <w:rsid w:val="006131F5"/>
    <w:rsid w:val="00614D98"/>
    <w:rsid w:val="006153EB"/>
    <w:rsid w:val="00616223"/>
    <w:rsid w:val="0061795A"/>
    <w:rsid w:val="00620BC9"/>
    <w:rsid w:val="00621511"/>
    <w:rsid w:val="00621663"/>
    <w:rsid w:val="00623DB9"/>
    <w:rsid w:val="006241B7"/>
    <w:rsid w:val="00626875"/>
    <w:rsid w:val="00633B77"/>
    <w:rsid w:val="00641091"/>
    <w:rsid w:val="00641508"/>
    <w:rsid w:val="006461BA"/>
    <w:rsid w:val="006466CE"/>
    <w:rsid w:val="006538C9"/>
    <w:rsid w:val="00656840"/>
    <w:rsid w:val="00657A55"/>
    <w:rsid w:val="00662A27"/>
    <w:rsid w:val="0066307C"/>
    <w:rsid w:val="00663EFB"/>
    <w:rsid w:val="0066401C"/>
    <w:rsid w:val="00675D2E"/>
    <w:rsid w:val="00676CE1"/>
    <w:rsid w:val="006804B4"/>
    <w:rsid w:val="00680B77"/>
    <w:rsid w:val="00680E87"/>
    <w:rsid w:val="00681679"/>
    <w:rsid w:val="006870C5"/>
    <w:rsid w:val="00690908"/>
    <w:rsid w:val="006915D4"/>
    <w:rsid w:val="00691D48"/>
    <w:rsid w:val="00695A59"/>
    <w:rsid w:val="006A066C"/>
    <w:rsid w:val="006A5735"/>
    <w:rsid w:val="006A65B1"/>
    <w:rsid w:val="006B25C8"/>
    <w:rsid w:val="006B2FEE"/>
    <w:rsid w:val="006B7A2A"/>
    <w:rsid w:val="006C3D0B"/>
    <w:rsid w:val="006C7296"/>
    <w:rsid w:val="006C7708"/>
    <w:rsid w:val="006D1095"/>
    <w:rsid w:val="006D62AF"/>
    <w:rsid w:val="006D6A30"/>
    <w:rsid w:val="006D76FF"/>
    <w:rsid w:val="006D79E8"/>
    <w:rsid w:val="006E2C29"/>
    <w:rsid w:val="006E43E1"/>
    <w:rsid w:val="006F15C4"/>
    <w:rsid w:val="006F3F7C"/>
    <w:rsid w:val="006F4D36"/>
    <w:rsid w:val="006F7024"/>
    <w:rsid w:val="007004B3"/>
    <w:rsid w:val="007026FF"/>
    <w:rsid w:val="007115E6"/>
    <w:rsid w:val="00717C2C"/>
    <w:rsid w:val="00731E40"/>
    <w:rsid w:val="00734B34"/>
    <w:rsid w:val="007356EC"/>
    <w:rsid w:val="007359E7"/>
    <w:rsid w:val="00736976"/>
    <w:rsid w:val="00736BB2"/>
    <w:rsid w:val="007531F3"/>
    <w:rsid w:val="00755464"/>
    <w:rsid w:val="007562C8"/>
    <w:rsid w:val="00757F73"/>
    <w:rsid w:val="00761EB0"/>
    <w:rsid w:val="00762FC2"/>
    <w:rsid w:val="00765591"/>
    <w:rsid w:val="00773C04"/>
    <w:rsid w:val="00780F9E"/>
    <w:rsid w:val="00782928"/>
    <w:rsid w:val="0078350F"/>
    <w:rsid w:val="0078458C"/>
    <w:rsid w:val="00785DDC"/>
    <w:rsid w:val="00785EBC"/>
    <w:rsid w:val="007863E6"/>
    <w:rsid w:val="00790B1F"/>
    <w:rsid w:val="0079310B"/>
    <w:rsid w:val="00793F4D"/>
    <w:rsid w:val="007953D6"/>
    <w:rsid w:val="00796D91"/>
    <w:rsid w:val="007A09D8"/>
    <w:rsid w:val="007A0D23"/>
    <w:rsid w:val="007A7E08"/>
    <w:rsid w:val="007B0E9C"/>
    <w:rsid w:val="007B4084"/>
    <w:rsid w:val="007C00A1"/>
    <w:rsid w:val="007D1D24"/>
    <w:rsid w:val="007D6295"/>
    <w:rsid w:val="007D6908"/>
    <w:rsid w:val="007D7C4C"/>
    <w:rsid w:val="007E18BA"/>
    <w:rsid w:val="007E4251"/>
    <w:rsid w:val="007E71F0"/>
    <w:rsid w:val="007F55C9"/>
    <w:rsid w:val="008031FC"/>
    <w:rsid w:val="00811B1D"/>
    <w:rsid w:val="00811BAE"/>
    <w:rsid w:val="008123F5"/>
    <w:rsid w:val="00812D08"/>
    <w:rsid w:val="00816A57"/>
    <w:rsid w:val="008175AB"/>
    <w:rsid w:val="008178F8"/>
    <w:rsid w:val="00822677"/>
    <w:rsid w:val="00826D62"/>
    <w:rsid w:val="008273C3"/>
    <w:rsid w:val="00830CC4"/>
    <w:rsid w:val="00832270"/>
    <w:rsid w:val="0083353F"/>
    <w:rsid w:val="00833910"/>
    <w:rsid w:val="00842DE4"/>
    <w:rsid w:val="00856D78"/>
    <w:rsid w:val="00866255"/>
    <w:rsid w:val="00866EA9"/>
    <w:rsid w:val="00874C26"/>
    <w:rsid w:val="0087601F"/>
    <w:rsid w:val="00881BC2"/>
    <w:rsid w:val="008834ED"/>
    <w:rsid w:val="00886E25"/>
    <w:rsid w:val="00887404"/>
    <w:rsid w:val="0088747A"/>
    <w:rsid w:val="0088783D"/>
    <w:rsid w:val="00887B8D"/>
    <w:rsid w:val="00891141"/>
    <w:rsid w:val="008937BA"/>
    <w:rsid w:val="008944B0"/>
    <w:rsid w:val="008947A7"/>
    <w:rsid w:val="00896C9F"/>
    <w:rsid w:val="00897446"/>
    <w:rsid w:val="008978D6"/>
    <w:rsid w:val="008A00BC"/>
    <w:rsid w:val="008A167C"/>
    <w:rsid w:val="008A5B3B"/>
    <w:rsid w:val="008A630A"/>
    <w:rsid w:val="008B276C"/>
    <w:rsid w:val="008B55B1"/>
    <w:rsid w:val="008B5A87"/>
    <w:rsid w:val="008C34F1"/>
    <w:rsid w:val="008C4C79"/>
    <w:rsid w:val="008D09E6"/>
    <w:rsid w:val="008E1D93"/>
    <w:rsid w:val="008E5602"/>
    <w:rsid w:val="008E60EE"/>
    <w:rsid w:val="008E64A3"/>
    <w:rsid w:val="008E72C0"/>
    <w:rsid w:val="008F17AD"/>
    <w:rsid w:val="008F1D2E"/>
    <w:rsid w:val="008F445D"/>
    <w:rsid w:val="008F56CD"/>
    <w:rsid w:val="00902E09"/>
    <w:rsid w:val="00910547"/>
    <w:rsid w:val="0091265B"/>
    <w:rsid w:val="00913D88"/>
    <w:rsid w:val="00917577"/>
    <w:rsid w:val="00920912"/>
    <w:rsid w:val="009212D3"/>
    <w:rsid w:val="00922DEE"/>
    <w:rsid w:val="00923258"/>
    <w:rsid w:val="00924E10"/>
    <w:rsid w:val="00943E00"/>
    <w:rsid w:val="00944AE8"/>
    <w:rsid w:val="0094599B"/>
    <w:rsid w:val="00957686"/>
    <w:rsid w:val="00957C27"/>
    <w:rsid w:val="00960904"/>
    <w:rsid w:val="00967E2E"/>
    <w:rsid w:val="009722AE"/>
    <w:rsid w:val="009737B5"/>
    <w:rsid w:val="00976E48"/>
    <w:rsid w:val="00980779"/>
    <w:rsid w:val="00983D8F"/>
    <w:rsid w:val="00985129"/>
    <w:rsid w:val="00987872"/>
    <w:rsid w:val="009907D7"/>
    <w:rsid w:val="0099266C"/>
    <w:rsid w:val="009946A0"/>
    <w:rsid w:val="00996141"/>
    <w:rsid w:val="009963BC"/>
    <w:rsid w:val="009970AF"/>
    <w:rsid w:val="009B08C9"/>
    <w:rsid w:val="009B240A"/>
    <w:rsid w:val="009B491B"/>
    <w:rsid w:val="009B7BA7"/>
    <w:rsid w:val="009C12D9"/>
    <w:rsid w:val="009C259F"/>
    <w:rsid w:val="009C2AAD"/>
    <w:rsid w:val="009D1203"/>
    <w:rsid w:val="009D5963"/>
    <w:rsid w:val="009E1654"/>
    <w:rsid w:val="009E2D66"/>
    <w:rsid w:val="009E3817"/>
    <w:rsid w:val="009F2010"/>
    <w:rsid w:val="009F2532"/>
    <w:rsid w:val="009F403F"/>
    <w:rsid w:val="009F433A"/>
    <w:rsid w:val="009F61A3"/>
    <w:rsid w:val="009F7E5A"/>
    <w:rsid w:val="00A0208F"/>
    <w:rsid w:val="00A07A22"/>
    <w:rsid w:val="00A15CC4"/>
    <w:rsid w:val="00A173BC"/>
    <w:rsid w:val="00A175B3"/>
    <w:rsid w:val="00A215FC"/>
    <w:rsid w:val="00A24A65"/>
    <w:rsid w:val="00A25FFE"/>
    <w:rsid w:val="00A26CCC"/>
    <w:rsid w:val="00A31BD5"/>
    <w:rsid w:val="00A35409"/>
    <w:rsid w:val="00A357E1"/>
    <w:rsid w:val="00A43CE1"/>
    <w:rsid w:val="00A456E9"/>
    <w:rsid w:val="00A5302E"/>
    <w:rsid w:val="00A53A09"/>
    <w:rsid w:val="00A5497D"/>
    <w:rsid w:val="00A56754"/>
    <w:rsid w:val="00A57903"/>
    <w:rsid w:val="00A613FC"/>
    <w:rsid w:val="00A61BD4"/>
    <w:rsid w:val="00A62615"/>
    <w:rsid w:val="00A63D1B"/>
    <w:rsid w:val="00A64721"/>
    <w:rsid w:val="00A67F0D"/>
    <w:rsid w:val="00A725E7"/>
    <w:rsid w:val="00A72698"/>
    <w:rsid w:val="00A727E0"/>
    <w:rsid w:val="00A75849"/>
    <w:rsid w:val="00A779D7"/>
    <w:rsid w:val="00A869E1"/>
    <w:rsid w:val="00A86A0E"/>
    <w:rsid w:val="00A90BA8"/>
    <w:rsid w:val="00A91A44"/>
    <w:rsid w:val="00A94B85"/>
    <w:rsid w:val="00A951DD"/>
    <w:rsid w:val="00AA33E8"/>
    <w:rsid w:val="00AA5F7E"/>
    <w:rsid w:val="00AB69A9"/>
    <w:rsid w:val="00AB78BD"/>
    <w:rsid w:val="00AC0AAA"/>
    <w:rsid w:val="00AC2E68"/>
    <w:rsid w:val="00AC46CB"/>
    <w:rsid w:val="00AC53C0"/>
    <w:rsid w:val="00AC64E8"/>
    <w:rsid w:val="00AD0A15"/>
    <w:rsid w:val="00AD1354"/>
    <w:rsid w:val="00AD5ACD"/>
    <w:rsid w:val="00AE30CB"/>
    <w:rsid w:val="00AE42DA"/>
    <w:rsid w:val="00AF4F24"/>
    <w:rsid w:val="00B01E16"/>
    <w:rsid w:val="00B01FB6"/>
    <w:rsid w:val="00B05248"/>
    <w:rsid w:val="00B05E8C"/>
    <w:rsid w:val="00B13FA7"/>
    <w:rsid w:val="00B14C01"/>
    <w:rsid w:val="00B155F5"/>
    <w:rsid w:val="00B16F8C"/>
    <w:rsid w:val="00B17F67"/>
    <w:rsid w:val="00B24F81"/>
    <w:rsid w:val="00B26100"/>
    <w:rsid w:val="00B26B3F"/>
    <w:rsid w:val="00B342CA"/>
    <w:rsid w:val="00B35233"/>
    <w:rsid w:val="00B36C63"/>
    <w:rsid w:val="00B376F0"/>
    <w:rsid w:val="00B4249E"/>
    <w:rsid w:val="00B42C62"/>
    <w:rsid w:val="00B44719"/>
    <w:rsid w:val="00B45700"/>
    <w:rsid w:val="00B46A71"/>
    <w:rsid w:val="00B477E3"/>
    <w:rsid w:val="00B47BDC"/>
    <w:rsid w:val="00B47DCD"/>
    <w:rsid w:val="00B524DA"/>
    <w:rsid w:val="00B54F13"/>
    <w:rsid w:val="00B54F36"/>
    <w:rsid w:val="00B56C37"/>
    <w:rsid w:val="00B61057"/>
    <w:rsid w:val="00B619BA"/>
    <w:rsid w:val="00B633C0"/>
    <w:rsid w:val="00B65486"/>
    <w:rsid w:val="00B71357"/>
    <w:rsid w:val="00B72214"/>
    <w:rsid w:val="00B752FC"/>
    <w:rsid w:val="00B753B9"/>
    <w:rsid w:val="00B76593"/>
    <w:rsid w:val="00B76881"/>
    <w:rsid w:val="00B8103D"/>
    <w:rsid w:val="00B83681"/>
    <w:rsid w:val="00B87B9B"/>
    <w:rsid w:val="00B900E7"/>
    <w:rsid w:val="00B91F51"/>
    <w:rsid w:val="00B92EAD"/>
    <w:rsid w:val="00B94548"/>
    <w:rsid w:val="00B96050"/>
    <w:rsid w:val="00B97637"/>
    <w:rsid w:val="00BA7AE4"/>
    <w:rsid w:val="00BB0225"/>
    <w:rsid w:val="00BB078F"/>
    <w:rsid w:val="00BB1AD5"/>
    <w:rsid w:val="00BB1EAF"/>
    <w:rsid w:val="00BB6BA7"/>
    <w:rsid w:val="00BB76E8"/>
    <w:rsid w:val="00BB7FF6"/>
    <w:rsid w:val="00BC2DF1"/>
    <w:rsid w:val="00BC2FAB"/>
    <w:rsid w:val="00BC49A0"/>
    <w:rsid w:val="00BC4DB4"/>
    <w:rsid w:val="00BD08DD"/>
    <w:rsid w:val="00BD38BD"/>
    <w:rsid w:val="00BD4844"/>
    <w:rsid w:val="00BD57A9"/>
    <w:rsid w:val="00BE3C74"/>
    <w:rsid w:val="00BE3E0E"/>
    <w:rsid w:val="00BE4FA8"/>
    <w:rsid w:val="00BE5BD7"/>
    <w:rsid w:val="00BE79F2"/>
    <w:rsid w:val="00BF115C"/>
    <w:rsid w:val="00BF46DA"/>
    <w:rsid w:val="00C00C0E"/>
    <w:rsid w:val="00C0387F"/>
    <w:rsid w:val="00C1089C"/>
    <w:rsid w:val="00C10B53"/>
    <w:rsid w:val="00C17CE4"/>
    <w:rsid w:val="00C27691"/>
    <w:rsid w:val="00C303AB"/>
    <w:rsid w:val="00C317DF"/>
    <w:rsid w:val="00C31C60"/>
    <w:rsid w:val="00C3226D"/>
    <w:rsid w:val="00C335F0"/>
    <w:rsid w:val="00C34461"/>
    <w:rsid w:val="00C36A71"/>
    <w:rsid w:val="00C428F2"/>
    <w:rsid w:val="00C5077C"/>
    <w:rsid w:val="00C50915"/>
    <w:rsid w:val="00C50A43"/>
    <w:rsid w:val="00C5284F"/>
    <w:rsid w:val="00C571B8"/>
    <w:rsid w:val="00C6375B"/>
    <w:rsid w:val="00C6541E"/>
    <w:rsid w:val="00C80B7E"/>
    <w:rsid w:val="00C822B7"/>
    <w:rsid w:val="00C82D08"/>
    <w:rsid w:val="00C86272"/>
    <w:rsid w:val="00C91559"/>
    <w:rsid w:val="00C94ED1"/>
    <w:rsid w:val="00CA0343"/>
    <w:rsid w:val="00CA2987"/>
    <w:rsid w:val="00CA2A06"/>
    <w:rsid w:val="00CA382E"/>
    <w:rsid w:val="00CA4EB9"/>
    <w:rsid w:val="00CA6F93"/>
    <w:rsid w:val="00CA7102"/>
    <w:rsid w:val="00CA79E0"/>
    <w:rsid w:val="00CA7A91"/>
    <w:rsid w:val="00CC1AD1"/>
    <w:rsid w:val="00CC2258"/>
    <w:rsid w:val="00CC464D"/>
    <w:rsid w:val="00CC5610"/>
    <w:rsid w:val="00CD2FC9"/>
    <w:rsid w:val="00CD6B36"/>
    <w:rsid w:val="00CE067A"/>
    <w:rsid w:val="00CE0E15"/>
    <w:rsid w:val="00CE22FD"/>
    <w:rsid w:val="00CE5C71"/>
    <w:rsid w:val="00CE6496"/>
    <w:rsid w:val="00CE6B8F"/>
    <w:rsid w:val="00CE7D83"/>
    <w:rsid w:val="00CF04F3"/>
    <w:rsid w:val="00CF0ED6"/>
    <w:rsid w:val="00CF2276"/>
    <w:rsid w:val="00CF429D"/>
    <w:rsid w:val="00CF720A"/>
    <w:rsid w:val="00CF7474"/>
    <w:rsid w:val="00D02210"/>
    <w:rsid w:val="00D05A05"/>
    <w:rsid w:val="00D05D52"/>
    <w:rsid w:val="00D14E91"/>
    <w:rsid w:val="00D173E6"/>
    <w:rsid w:val="00D25D78"/>
    <w:rsid w:val="00D2630E"/>
    <w:rsid w:val="00D33D1F"/>
    <w:rsid w:val="00D35848"/>
    <w:rsid w:val="00D366AF"/>
    <w:rsid w:val="00D37B6D"/>
    <w:rsid w:val="00D42924"/>
    <w:rsid w:val="00D467F7"/>
    <w:rsid w:val="00D53611"/>
    <w:rsid w:val="00D53FD1"/>
    <w:rsid w:val="00D55575"/>
    <w:rsid w:val="00D5641C"/>
    <w:rsid w:val="00D56D6D"/>
    <w:rsid w:val="00D6007B"/>
    <w:rsid w:val="00D6783C"/>
    <w:rsid w:val="00D7306B"/>
    <w:rsid w:val="00D758B6"/>
    <w:rsid w:val="00D8165E"/>
    <w:rsid w:val="00D82EA2"/>
    <w:rsid w:val="00DA06B2"/>
    <w:rsid w:val="00DA37B5"/>
    <w:rsid w:val="00DB141E"/>
    <w:rsid w:val="00DC1CD0"/>
    <w:rsid w:val="00DC5232"/>
    <w:rsid w:val="00DD1E88"/>
    <w:rsid w:val="00DD6057"/>
    <w:rsid w:val="00DD6BCD"/>
    <w:rsid w:val="00DE0B1A"/>
    <w:rsid w:val="00DE2BFA"/>
    <w:rsid w:val="00DE45D7"/>
    <w:rsid w:val="00DF0DA0"/>
    <w:rsid w:val="00DF41C2"/>
    <w:rsid w:val="00DF45BD"/>
    <w:rsid w:val="00DF5A78"/>
    <w:rsid w:val="00E01E69"/>
    <w:rsid w:val="00E042F0"/>
    <w:rsid w:val="00E13CE6"/>
    <w:rsid w:val="00E17DAF"/>
    <w:rsid w:val="00E2040E"/>
    <w:rsid w:val="00E23292"/>
    <w:rsid w:val="00E24D62"/>
    <w:rsid w:val="00E24F21"/>
    <w:rsid w:val="00E27488"/>
    <w:rsid w:val="00E3041D"/>
    <w:rsid w:val="00E31C59"/>
    <w:rsid w:val="00E31E13"/>
    <w:rsid w:val="00E3358A"/>
    <w:rsid w:val="00E34091"/>
    <w:rsid w:val="00E3594C"/>
    <w:rsid w:val="00E36FF9"/>
    <w:rsid w:val="00E40311"/>
    <w:rsid w:val="00E42EE6"/>
    <w:rsid w:val="00E460A0"/>
    <w:rsid w:val="00E54EB7"/>
    <w:rsid w:val="00E55F17"/>
    <w:rsid w:val="00E568F8"/>
    <w:rsid w:val="00E57311"/>
    <w:rsid w:val="00E61F99"/>
    <w:rsid w:val="00E62636"/>
    <w:rsid w:val="00E667D7"/>
    <w:rsid w:val="00E70E3E"/>
    <w:rsid w:val="00E71441"/>
    <w:rsid w:val="00E716D7"/>
    <w:rsid w:val="00E7170E"/>
    <w:rsid w:val="00E73038"/>
    <w:rsid w:val="00E7348B"/>
    <w:rsid w:val="00E748DB"/>
    <w:rsid w:val="00E7696A"/>
    <w:rsid w:val="00E80141"/>
    <w:rsid w:val="00E82D16"/>
    <w:rsid w:val="00E85A2C"/>
    <w:rsid w:val="00E90DFD"/>
    <w:rsid w:val="00E930BB"/>
    <w:rsid w:val="00E976D7"/>
    <w:rsid w:val="00EA53F5"/>
    <w:rsid w:val="00EA76E2"/>
    <w:rsid w:val="00EA7EEF"/>
    <w:rsid w:val="00EB58BB"/>
    <w:rsid w:val="00EB6C3A"/>
    <w:rsid w:val="00EC0590"/>
    <w:rsid w:val="00EC0953"/>
    <w:rsid w:val="00EC2080"/>
    <w:rsid w:val="00ED145A"/>
    <w:rsid w:val="00ED16BD"/>
    <w:rsid w:val="00ED193C"/>
    <w:rsid w:val="00ED2554"/>
    <w:rsid w:val="00ED3A4B"/>
    <w:rsid w:val="00ED7809"/>
    <w:rsid w:val="00ED7A0C"/>
    <w:rsid w:val="00EE24B6"/>
    <w:rsid w:val="00EE61FF"/>
    <w:rsid w:val="00EE64ED"/>
    <w:rsid w:val="00EF595C"/>
    <w:rsid w:val="00EF5CF8"/>
    <w:rsid w:val="00EF6F1D"/>
    <w:rsid w:val="00F00A5C"/>
    <w:rsid w:val="00F041EC"/>
    <w:rsid w:val="00F04356"/>
    <w:rsid w:val="00F05D29"/>
    <w:rsid w:val="00F064E4"/>
    <w:rsid w:val="00F06BF2"/>
    <w:rsid w:val="00F11A91"/>
    <w:rsid w:val="00F129DC"/>
    <w:rsid w:val="00F12BA1"/>
    <w:rsid w:val="00F14218"/>
    <w:rsid w:val="00F20825"/>
    <w:rsid w:val="00F20F69"/>
    <w:rsid w:val="00F21259"/>
    <w:rsid w:val="00F2730B"/>
    <w:rsid w:val="00F302CD"/>
    <w:rsid w:val="00F32AF5"/>
    <w:rsid w:val="00F358AA"/>
    <w:rsid w:val="00F35BBF"/>
    <w:rsid w:val="00F36A60"/>
    <w:rsid w:val="00F37FDE"/>
    <w:rsid w:val="00F414D5"/>
    <w:rsid w:val="00F4151A"/>
    <w:rsid w:val="00F41E24"/>
    <w:rsid w:val="00F455D9"/>
    <w:rsid w:val="00F507B4"/>
    <w:rsid w:val="00F50E66"/>
    <w:rsid w:val="00F56404"/>
    <w:rsid w:val="00F6095A"/>
    <w:rsid w:val="00F6198F"/>
    <w:rsid w:val="00F61DEA"/>
    <w:rsid w:val="00F64A4F"/>
    <w:rsid w:val="00F65A8E"/>
    <w:rsid w:val="00F6797D"/>
    <w:rsid w:val="00F7029B"/>
    <w:rsid w:val="00F74EF8"/>
    <w:rsid w:val="00F7640B"/>
    <w:rsid w:val="00F77FD3"/>
    <w:rsid w:val="00F82A22"/>
    <w:rsid w:val="00F85569"/>
    <w:rsid w:val="00F8574F"/>
    <w:rsid w:val="00F90D70"/>
    <w:rsid w:val="00F90F9B"/>
    <w:rsid w:val="00F90FE0"/>
    <w:rsid w:val="00F93AE9"/>
    <w:rsid w:val="00F95176"/>
    <w:rsid w:val="00F95946"/>
    <w:rsid w:val="00FA2F18"/>
    <w:rsid w:val="00FA5429"/>
    <w:rsid w:val="00FA7643"/>
    <w:rsid w:val="00FB13B8"/>
    <w:rsid w:val="00FB5E3F"/>
    <w:rsid w:val="00FC696A"/>
    <w:rsid w:val="00FC6D97"/>
    <w:rsid w:val="00FC7BE1"/>
    <w:rsid w:val="00FD2BC9"/>
    <w:rsid w:val="00FE0E4E"/>
    <w:rsid w:val="00FE57A2"/>
    <w:rsid w:val="00FE5DBA"/>
    <w:rsid w:val="00FE75C3"/>
    <w:rsid w:val="00FF2F7E"/>
    <w:rsid w:val="00FF599C"/>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66F93"/>
  <w15:docId w15:val="{3E0E9046-A1C9-4494-B1C2-38BB3255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5A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963"/>
    <w:rPr>
      <w:color w:val="0000FF"/>
      <w:u w:val="single"/>
    </w:rPr>
  </w:style>
  <w:style w:type="paragraph" w:styleId="NoSpacing">
    <w:name w:val="No Spacing"/>
    <w:link w:val="NoSpacingChar"/>
    <w:uiPriority w:val="1"/>
    <w:qFormat/>
    <w:rsid w:val="000121A2"/>
    <w:pPr>
      <w:spacing w:after="0" w:line="240" w:lineRule="auto"/>
    </w:pPr>
  </w:style>
  <w:style w:type="table" w:styleId="TableGrid">
    <w:name w:val="Table Grid"/>
    <w:basedOn w:val="TableNormal"/>
    <w:uiPriority w:val="39"/>
    <w:rsid w:val="008E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E560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65157"/>
    <w:rPr>
      <w:sz w:val="16"/>
      <w:szCs w:val="16"/>
    </w:rPr>
  </w:style>
  <w:style w:type="paragraph" w:styleId="CommentText">
    <w:name w:val="annotation text"/>
    <w:basedOn w:val="Normal"/>
    <w:link w:val="CommentTextChar"/>
    <w:uiPriority w:val="99"/>
    <w:semiHidden/>
    <w:unhideWhenUsed/>
    <w:rsid w:val="00265157"/>
    <w:pPr>
      <w:spacing w:line="240" w:lineRule="auto"/>
    </w:pPr>
    <w:rPr>
      <w:sz w:val="20"/>
      <w:szCs w:val="20"/>
    </w:rPr>
  </w:style>
  <w:style w:type="character" w:customStyle="1" w:styleId="CommentTextChar">
    <w:name w:val="Comment Text Char"/>
    <w:basedOn w:val="DefaultParagraphFont"/>
    <w:link w:val="CommentText"/>
    <w:uiPriority w:val="99"/>
    <w:semiHidden/>
    <w:rsid w:val="00265157"/>
    <w:rPr>
      <w:sz w:val="20"/>
      <w:szCs w:val="20"/>
    </w:rPr>
  </w:style>
  <w:style w:type="paragraph" w:styleId="CommentSubject">
    <w:name w:val="annotation subject"/>
    <w:basedOn w:val="CommentText"/>
    <w:next w:val="CommentText"/>
    <w:link w:val="CommentSubjectChar"/>
    <w:uiPriority w:val="99"/>
    <w:semiHidden/>
    <w:unhideWhenUsed/>
    <w:rsid w:val="00265157"/>
    <w:rPr>
      <w:b/>
      <w:bCs/>
    </w:rPr>
  </w:style>
  <w:style w:type="character" w:customStyle="1" w:styleId="CommentSubjectChar">
    <w:name w:val="Comment Subject Char"/>
    <w:basedOn w:val="CommentTextChar"/>
    <w:link w:val="CommentSubject"/>
    <w:uiPriority w:val="99"/>
    <w:semiHidden/>
    <w:rsid w:val="00265157"/>
    <w:rPr>
      <w:b/>
      <w:bCs/>
      <w:sz w:val="20"/>
      <w:szCs w:val="20"/>
    </w:rPr>
  </w:style>
  <w:style w:type="paragraph" w:styleId="BalloonText">
    <w:name w:val="Balloon Text"/>
    <w:basedOn w:val="Normal"/>
    <w:link w:val="BalloonTextChar"/>
    <w:uiPriority w:val="99"/>
    <w:semiHidden/>
    <w:unhideWhenUsed/>
    <w:rsid w:val="00265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157"/>
    <w:rPr>
      <w:rFonts w:ascii="Segoe UI" w:hAnsi="Segoe UI" w:cs="Segoe UI"/>
      <w:sz w:val="18"/>
      <w:szCs w:val="18"/>
    </w:rPr>
  </w:style>
  <w:style w:type="paragraph" w:styleId="FootnoteText">
    <w:name w:val="footnote text"/>
    <w:basedOn w:val="Normal"/>
    <w:link w:val="FootnoteTextChar"/>
    <w:uiPriority w:val="99"/>
    <w:semiHidden/>
    <w:unhideWhenUsed/>
    <w:rsid w:val="004F2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E4B"/>
    <w:rPr>
      <w:sz w:val="20"/>
      <w:szCs w:val="20"/>
    </w:rPr>
  </w:style>
  <w:style w:type="character" w:styleId="FootnoteReference">
    <w:name w:val="footnote reference"/>
    <w:basedOn w:val="DefaultParagraphFont"/>
    <w:uiPriority w:val="99"/>
    <w:semiHidden/>
    <w:unhideWhenUsed/>
    <w:rsid w:val="004F2E4B"/>
    <w:rPr>
      <w:vertAlign w:val="superscript"/>
    </w:rPr>
  </w:style>
  <w:style w:type="character" w:customStyle="1" w:styleId="text-right1">
    <w:name w:val="text-right1"/>
    <w:basedOn w:val="DefaultParagraphFont"/>
    <w:rsid w:val="00C36A71"/>
  </w:style>
  <w:style w:type="paragraph" w:styleId="Header">
    <w:name w:val="header"/>
    <w:basedOn w:val="Normal"/>
    <w:link w:val="HeaderChar"/>
    <w:uiPriority w:val="99"/>
    <w:unhideWhenUsed/>
    <w:rsid w:val="00BB1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EAF"/>
  </w:style>
  <w:style w:type="paragraph" w:styleId="Footer">
    <w:name w:val="footer"/>
    <w:basedOn w:val="Normal"/>
    <w:link w:val="FooterChar"/>
    <w:uiPriority w:val="99"/>
    <w:unhideWhenUsed/>
    <w:rsid w:val="00BB1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EAF"/>
  </w:style>
  <w:style w:type="table" w:customStyle="1" w:styleId="TableGrid1">
    <w:name w:val="Table Grid1"/>
    <w:basedOn w:val="TableNormal"/>
    <w:next w:val="TableGrid"/>
    <w:uiPriority w:val="39"/>
    <w:rsid w:val="00A25F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54EB7"/>
  </w:style>
  <w:style w:type="character" w:customStyle="1" w:styleId="Heading1Char">
    <w:name w:val="Heading 1 Char"/>
    <w:basedOn w:val="DefaultParagraphFont"/>
    <w:link w:val="Heading1"/>
    <w:uiPriority w:val="9"/>
    <w:rsid w:val="008B5A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5A8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23DB9"/>
    <w:rPr>
      <w:color w:val="954F72" w:themeColor="followedHyperlink"/>
      <w:u w:val="single"/>
    </w:rPr>
  </w:style>
  <w:style w:type="paragraph" w:styleId="EndnoteText">
    <w:name w:val="endnote text"/>
    <w:basedOn w:val="Normal"/>
    <w:link w:val="EndnoteTextChar"/>
    <w:uiPriority w:val="99"/>
    <w:semiHidden/>
    <w:unhideWhenUsed/>
    <w:rsid w:val="00623D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DB9"/>
    <w:rPr>
      <w:sz w:val="20"/>
      <w:szCs w:val="20"/>
    </w:rPr>
  </w:style>
  <w:style w:type="character" w:styleId="EndnoteReference">
    <w:name w:val="endnote reference"/>
    <w:basedOn w:val="DefaultParagraphFont"/>
    <w:uiPriority w:val="99"/>
    <w:semiHidden/>
    <w:unhideWhenUsed/>
    <w:rsid w:val="00623DB9"/>
    <w:rPr>
      <w:vertAlign w:val="superscript"/>
    </w:rPr>
  </w:style>
  <w:style w:type="paragraph" w:styleId="NormalWeb">
    <w:name w:val="Normal (Web)"/>
    <w:basedOn w:val="Normal"/>
    <w:uiPriority w:val="99"/>
    <w:unhideWhenUsed/>
    <w:rsid w:val="00DB14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dometer-digit-spacer">
    <w:name w:val="odometer-digit-spacer"/>
    <w:basedOn w:val="DefaultParagraphFont"/>
    <w:rsid w:val="00DB141E"/>
  </w:style>
  <w:style w:type="character" w:customStyle="1" w:styleId="odometer-value">
    <w:name w:val="odometer-value"/>
    <w:basedOn w:val="DefaultParagraphFont"/>
    <w:rsid w:val="00DB141E"/>
  </w:style>
  <w:style w:type="character" w:customStyle="1" w:styleId="odometer-formatting-mark">
    <w:name w:val="odometer-formatting-mark"/>
    <w:basedOn w:val="DefaultParagraphFont"/>
    <w:rsid w:val="00DB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442">
      <w:bodyDiv w:val="1"/>
      <w:marLeft w:val="0"/>
      <w:marRight w:val="0"/>
      <w:marTop w:val="0"/>
      <w:marBottom w:val="0"/>
      <w:divBdr>
        <w:top w:val="none" w:sz="0" w:space="0" w:color="auto"/>
        <w:left w:val="none" w:sz="0" w:space="0" w:color="auto"/>
        <w:bottom w:val="none" w:sz="0" w:space="0" w:color="auto"/>
        <w:right w:val="none" w:sz="0" w:space="0" w:color="auto"/>
      </w:divBdr>
    </w:div>
    <w:div w:id="90322390">
      <w:bodyDiv w:val="1"/>
      <w:marLeft w:val="0"/>
      <w:marRight w:val="0"/>
      <w:marTop w:val="0"/>
      <w:marBottom w:val="0"/>
      <w:divBdr>
        <w:top w:val="none" w:sz="0" w:space="0" w:color="auto"/>
        <w:left w:val="none" w:sz="0" w:space="0" w:color="auto"/>
        <w:bottom w:val="none" w:sz="0" w:space="0" w:color="auto"/>
        <w:right w:val="none" w:sz="0" w:space="0" w:color="auto"/>
      </w:divBdr>
    </w:div>
    <w:div w:id="325287577">
      <w:bodyDiv w:val="1"/>
      <w:marLeft w:val="0"/>
      <w:marRight w:val="0"/>
      <w:marTop w:val="0"/>
      <w:marBottom w:val="0"/>
      <w:divBdr>
        <w:top w:val="none" w:sz="0" w:space="0" w:color="auto"/>
        <w:left w:val="none" w:sz="0" w:space="0" w:color="auto"/>
        <w:bottom w:val="none" w:sz="0" w:space="0" w:color="auto"/>
        <w:right w:val="none" w:sz="0" w:space="0" w:color="auto"/>
      </w:divBdr>
    </w:div>
    <w:div w:id="397481019">
      <w:bodyDiv w:val="1"/>
      <w:marLeft w:val="0"/>
      <w:marRight w:val="0"/>
      <w:marTop w:val="0"/>
      <w:marBottom w:val="0"/>
      <w:divBdr>
        <w:top w:val="none" w:sz="0" w:space="0" w:color="auto"/>
        <w:left w:val="none" w:sz="0" w:space="0" w:color="auto"/>
        <w:bottom w:val="none" w:sz="0" w:space="0" w:color="auto"/>
        <w:right w:val="none" w:sz="0" w:space="0" w:color="auto"/>
      </w:divBdr>
    </w:div>
    <w:div w:id="707333850">
      <w:bodyDiv w:val="1"/>
      <w:marLeft w:val="0"/>
      <w:marRight w:val="0"/>
      <w:marTop w:val="0"/>
      <w:marBottom w:val="0"/>
      <w:divBdr>
        <w:top w:val="none" w:sz="0" w:space="0" w:color="auto"/>
        <w:left w:val="none" w:sz="0" w:space="0" w:color="auto"/>
        <w:bottom w:val="none" w:sz="0" w:space="0" w:color="auto"/>
        <w:right w:val="none" w:sz="0" w:space="0" w:color="auto"/>
      </w:divBdr>
    </w:div>
    <w:div w:id="744641839">
      <w:bodyDiv w:val="1"/>
      <w:marLeft w:val="0"/>
      <w:marRight w:val="0"/>
      <w:marTop w:val="0"/>
      <w:marBottom w:val="0"/>
      <w:divBdr>
        <w:top w:val="none" w:sz="0" w:space="0" w:color="auto"/>
        <w:left w:val="none" w:sz="0" w:space="0" w:color="auto"/>
        <w:bottom w:val="none" w:sz="0" w:space="0" w:color="auto"/>
        <w:right w:val="none" w:sz="0" w:space="0" w:color="auto"/>
      </w:divBdr>
    </w:div>
    <w:div w:id="747071137">
      <w:bodyDiv w:val="1"/>
      <w:marLeft w:val="0"/>
      <w:marRight w:val="0"/>
      <w:marTop w:val="0"/>
      <w:marBottom w:val="0"/>
      <w:divBdr>
        <w:top w:val="none" w:sz="0" w:space="0" w:color="auto"/>
        <w:left w:val="none" w:sz="0" w:space="0" w:color="auto"/>
        <w:bottom w:val="none" w:sz="0" w:space="0" w:color="auto"/>
        <w:right w:val="none" w:sz="0" w:space="0" w:color="auto"/>
      </w:divBdr>
    </w:div>
    <w:div w:id="1030303062">
      <w:bodyDiv w:val="1"/>
      <w:marLeft w:val="0"/>
      <w:marRight w:val="0"/>
      <w:marTop w:val="0"/>
      <w:marBottom w:val="0"/>
      <w:divBdr>
        <w:top w:val="none" w:sz="0" w:space="0" w:color="auto"/>
        <w:left w:val="none" w:sz="0" w:space="0" w:color="auto"/>
        <w:bottom w:val="none" w:sz="0" w:space="0" w:color="auto"/>
        <w:right w:val="none" w:sz="0" w:space="0" w:color="auto"/>
      </w:divBdr>
    </w:div>
    <w:div w:id="1074818518">
      <w:bodyDiv w:val="1"/>
      <w:marLeft w:val="0"/>
      <w:marRight w:val="0"/>
      <w:marTop w:val="0"/>
      <w:marBottom w:val="0"/>
      <w:divBdr>
        <w:top w:val="none" w:sz="0" w:space="0" w:color="auto"/>
        <w:left w:val="none" w:sz="0" w:space="0" w:color="auto"/>
        <w:bottom w:val="none" w:sz="0" w:space="0" w:color="auto"/>
        <w:right w:val="none" w:sz="0" w:space="0" w:color="auto"/>
      </w:divBdr>
    </w:div>
    <w:div w:id="1079333020">
      <w:bodyDiv w:val="1"/>
      <w:marLeft w:val="0"/>
      <w:marRight w:val="0"/>
      <w:marTop w:val="0"/>
      <w:marBottom w:val="0"/>
      <w:divBdr>
        <w:top w:val="none" w:sz="0" w:space="0" w:color="auto"/>
        <w:left w:val="none" w:sz="0" w:space="0" w:color="auto"/>
        <w:bottom w:val="none" w:sz="0" w:space="0" w:color="auto"/>
        <w:right w:val="none" w:sz="0" w:space="0" w:color="auto"/>
      </w:divBdr>
    </w:div>
    <w:div w:id="1184779672">
      <w:bodyDiv w:val="1"/>
      <w:marLeft w:val="0"/>
      <w:marRight w:val="0"/>
      <w:marTop w:val="0"/>
      <w:marBottom w:val="0"/>
      <w:divBdr>
        <w:top w:val="none" w:sz="0" w:space="0" w:color="auto"/>
        <w:left w:val="none" w:sz="0" w:space="0" w:color="auto"/>
        <w:bottom w:val="none" w:sz="0" w:space="0" w:color="auto"/>
        <w:right w:val="none" w:sz="0" w:space="0" w:color="auto"/>
      </w:divBdr>
    </w:div>
    <w:div w:id="1315255789">
      <w:bodyDiv w:val="1"/>
      <w:marLeft w:val="0"/>
      <w:marRight w:val="0"/>
      <w:marTop w:val="0"/>
      <w:marBottom w:val="0"/>
      <w:divBdr>
        <w:top w:val="none" w:sz="0" w:space="0" w:color="auto"/>
        <w:left w:val="none" w:sz="0" w:space="0" w:color="auto"/>
        <w:bottom w:val="none" w:sz="0" w:space="0" w:color="auto"/>
        <w:right w:val="none" w:sz="0" w:space="0" w:color="auto"/>
      </w:divBdr>
      <w:divsChild>
        <w:div w:id="663556156">
          <w:marLeft w:val="0"/>
          <w:marRight w:val="0"/>
          <w:marTop w:val="0"/>
          <w:marBottom w:val="0"/>
          <w:divBdr>
            <w:top w:val="none" w:sz="0" w:space="0" w:color="auto"/>
            <w:left w:val="none" w:sz="0" w:space="0" w:color="auto"/>
            <w:bottom w:val="none" w:sz="0" w:space="0" w:color="auto"/>
            <w:right w:val="none" w:sz="0" w:space="0" w:color="auto"/>
          </w:divBdr>
          <w:divsChild>
            <w:div w:id="2015373790">
              <w:marLeft w:val="0"/>
              <w:marRight w:val="0"/>
              <w:marTop w:val="0"/>
              <w:marBottom w:val="0"/>
              <w:divBdr>
                <w:top w:val="none" w:sz="0" w:space="0" w:color="auto"/>
                <w:left w:val="none" w:sz="0" w:space="0" w:color="auto"/>
                <w:bottom w:val="none" w:sz="0" w:space="0" w:color="auto"/>
                <w:right w:val="none" w:sz="0" w:space="0" w:color="auto"/>
              </w:divBdr>
            </w:div>
            <w:div w:id="1314994064">
              <w:marLeft w:val="0"/>
              <w:marRight w:val="0"/>
              <w:marTop w:val="0"/>
              <w:marBottom w:val="0"/>
              <w:divBdr>
                <w:top w:val="none" w:sz="0" w:space="0" w:color="auto"/>
                <w:left w:val="none" w:sz="0" w:space="0" w:color="auto"/>
                <w:bottom w:val="none" w:sz="0" w:space="0" w:color="auto"/>
                <w:right w:val="none" w:sz="0" w:space="0" w:color="auto"/>
              </w:divBdr>
            </w:div>
            <w:div w:id="768499993">
              <w:marLeft w:val="0"/>
              <w:marRight w:val="0"/>
              <w:marTop w:val="0"/>
              <w:marBottom w:val="0"/>
              <w:divBdr>
                <w:top w:val="none" w:sz="0" w:space="0" w:color="auto"/>
                <w:left w:val="none" w:sz="0" w:space="0" w:color="auto"/>
                <w:bottom w:val="none" w:sz="0" w:space="0" w:color="auto"/>
                <w:right w:val="none" w:sz="0" w:space="0" w:color="auto"/>
              </w:divBdr>
            </w:div>
            <w:div w:id="627274327">
              <w:marLeft w:val="0"/>
              <w:marRight w:val="0"/>
              <w:marTop w:val="0"/>
              <w:marBottom w:val="0"/>
              <w:divBdr>
                <w:top w:val="none" w:sz="0" w:space="0" w:color="auto"/>
                <w:left w:val="none" w:sz="0" w:space="0" w:color="auto"/>
                <w:bottom w:val="none" w:sz="0" w:space="0" w:color="auto"/>
                <w:right w:val="none" w:sz="0" w:space="0" w:color="auto"/>
              </w:divBdr>
            </w:div>
            <w:div w:id="549272901">
              <w:marLeft w:val="0"/>
              <w:marRight w:val="0"/>
              <w:marTop w:val="0"/>
              <w:marBottom w:val="0"/>
              <w:divBdr>
                <w:top w:val="none" w:sz="0" w:space="0" w:color="auto"/>
                <w:left w:val="none" w:sz="0" w:space="0" w:color="auto"/>
                <w:bottom w:val="none" w:sz="0" w:space="0" w:color="auto"/>
                <w:right w:val="none" w:sz="0" w:space="0" w:color="auto"/>
              </w:divBdr>
            </w:div>
            <w:div w:id="674459427">
              <w:marLeft w:val="0"/>
              <w:marRight w:val="0"/>
              <w:marTop w:val="0"/>
              <w:marBottom w:val="0"/>
              <w:divBdr>
                <w:top w:val="none" w:sz="0" w:space="0" w:color="auto"/>
                <w:left w:val="none" w:sz="0" w:space="0" w:color="auto"/>
                <w:bottom w:val="none" w:sz="0" w:space="0" w:color="auto"/>
                <w:right w:val="none" w:sz="0" w:space="0" w:color="auto"/>
              </w:divBdr>
            </w:div>
            <w:div w:id="815223719">
              <w:marLeft w:val="0"/>
              <w:marRight w:val="0"/>
              <w:marTop w:val="0"/>
              <w:marBottom w:val="0"/>
              <w:divBdr>
                <w:top w:val="none" w:sz="0" w:space="0" w:color="auto"/>
                <w:left w:val="none" w:sz="0" w:space="0" w:color="auto"/>
                <w:bottom w:val="none" w:sz="0" w:space="0" w:color="auto"/>
                <w:right w:val="none" w:sz="0" w:space="0" w:color="auto"/>
              </w:divBdr>
            </w:div>
            <w:div w:id="1509713601">
              <w:marLeft w:val="0"/>
              <w:marRight w:val="0"/>
              <w:marTop w:val="0"/>
              <w:marBottom w:val="0"/>
              <w:divBdr>
                <w:top w:val="none" w:sz="0" w:space="0" w:color="auto"/>
                <w:left w:val="none" w:sz="0" w:space="0" w:color="auto"/>
                <w:bottom w:val="none" w:sz="0" w:space="0" w:color="auto"/>
                <w:right w:val="none" w:sz="0" w:space="0" w:color="auto"/>
              </w:divBdr>
            </w:div>
            <w:div w:id="700597365">
              <w:marLeft w:val="0"/>
              <w:marRight w:val="0"/>
              <w:marTop w:val="0"/>
              <w:marBottom w:val="0"/>
              <w:divBdr>
                <w:top w:val="none" w:sz="0" w:space="0" w:color="auto"/>
                <w:left w:val="none" w:sz="0" w:space="0" w:color="auto"/>
                <w:bottom w:val="none" w:sz="0" w:space="0" w:color="auto"/>
                <w:right w:val="none" w:sz="0" w:space="0" w:color="auto"/>
              </w:divBdr>
            </w:div>
            <w:div w:id="1336421580">
              <w:marLeft w:val="0"/>
              <w:marRight w:val="0"/>
              <w:marTop w:val="0"/>
              <w:marBottom w:val="0"/>
              <w:divBdr>
                <w:top w:val="none" w:sz="0" w:space="0" w:color="auto"/>
                <w:left w:val="none" w:sz="0" w:space="0" w:color="auto"/>
                <w:bottom w:val="none" w:sz="0" w:space="0" w:color="auto"/>
                <w:right w:val="none" w:sz="0" w:space="0" w:color="auto"/>
              </w:divBdr>
            </w:div>
            <w:div w:id="667172726">
              <w:marLeft w:val="0"/>
              <w:marRight w:val="0"/>
              <w:marTop w:val="0"/>
              <w:marBottom w:val="0"/>
              <w:divBdr>
                <w:top w:val="none" w:sz="0" w:space="0" w:color="auto"/>
                <w:left w:val="none" w:sz="0" w:space="0" w:color="auto"/>
                <w:bottom w:val="none" w:sz="0" w:space="0" w:color="auto"/>
                <w:right w:val="none" w:sz="0" w:space="0" w:color="auto"/>
              </w:divBdr>
            </w:div>
            <w:div w:id="746608131">
              <w:marLeft w:val="0"/>
              <w:marRight w:val="0"/>
              <w:marTop w:val="0"/>
              <w:marBottom w:val="0"/>
              <w:divBdr>
                <w:top w:val="none" w:sz="0" w:space="0" w:color="auto"/>
                <w:left w:val="none" w:sz="0" w:space="0" w:color="auto"/>
                <w:bottom w:val="none" w:sz="0" w:space="0" w:color="auto"/>
                <w:right w:val="none" w:sz="0" w:space="0" w:color="auto"/>
              </w:divBdr>
            </w:div>
            <w:div w:id="1070692643">
              <w:marLeft w:val="0"/>
              <w:marRight w:val="0"/>
              <w:marTop w:val="0"/>
              <w:marBottom w:val="0"/>
              <w:divBdr>
                <w:top w:val="none" w:sz="0" w:space="0" w:color="auto"/>
                <w:left w:val="none" w:sz="0" w:space="0" w:color="auto"/>
                <w:bottom w:val="none" w:sz="0" w:space="0" w:color="auto"/>
                <w:right w:val="none" w:sz="0" w:space="0" w:color="auto"/>
              </w:divBdr>
            </w:div>
            <w:div w:id="1418751593">
              <w:marLeft w:val="0"/>
              <w:marRight w:val="0"/>
              <w:marTop w:val="0"/>
              <w:marBottom w:val="0"/>
              <w:divBdr>
                <w:top w:val="none" w:sz="0" w:space="0" w:color="auto"/>
                <w:left w:val="none" w:sz="0" w:space="0" w:color="auto"/>
                <w:bottom w:val="none" w:sz="0" w:space="0" w:color="auto"/>
                <w:right w:val="none" w:sz="0" w:space="0" w:color="auto"/>
              </w:divBdr>
            </w:div>
            <w:div w:id="1426851414">
              <w:marLeft w:val="0"/>
              <w:marRight w:val="0"/>
              <w:marTop w:val="0"/>
              <w:marBottom w:val="0"/>
              <w:divBdr>
                <w:top w:val="none" w:sz="0" w:space="0" w:color="auto"/>
                <w:left w:val="none" w:sz="0" w:space="0" w:color="auto"/>
                <w:bottom w:val="none" w:sz="0" w:space="0" w:color="auto"/>
                <w:right w:val="none" w:sz="0" w:space="0" w:color="auto"/>
              </w:divBdr>
            </w:div>
            <w:div w:id="551160240">
              <w:marLeft w:val="0"/>
              <w:marRight w:val="0"/>
              <w:marTop w:val="0"/>
              <w:marBottom w:val="0"/>
              <w:divBdr>
                <w:top w:val="none" w:sz="0" w:space="0" w:color="auto"/>
                <w:left w:val="none" w:sz="0" w:space="0" w:color="auto"/>
                <w:bottom w:val="none" w:sz="0" w:space="0" w:color="auto"/>
                <w:right w:val="none" w:sz="0" w:space="0" w:color="auto"/>
              </w:divBdr>
            </w:div>
            <w:div w:id="483819193">
              <w:marLeft w:val="0"/>
              <w:marRight w:val="0"/>
              <w:marTop w:val="0"/>
              <w:marBottom w:val="0"/>
              <w:divBdr>
                <w:top w:val="none" w:sz="0" w:space="0" w:color="auto"/>
                <w:left w:val="none" w:sz="0" w:space="0" w:color="auto"/>
                <w:bottom w:val="none" w:sz="0" w:space="0" w:color="auto"/>
                <w:right w:val="none" w:sz="0" w:space="0" w:color="auto"/>
              </w:divBdr>
            </w:div>
            <w:div w:id="770781383">
              <w:marLeft w:val="0"/>
              <w:marRight w:val="0"/>
              <w:marTop w:val="0"/>
              <w:marBottom w:val="0"/>
              <w:divBdr>
                <w:top w:val="none" w:sz="0" w:space="0" w:color="auto"/>
                <w:left w:val="none" w:sz="0" w:space="0" w:color="auto"/>
                <w:bottom w:val="none" w:sz="0" w:space="0" w:color="auto"/>
                <w:right w:val="none" w:sz="0" w:space="0" w:color="auto"/>
              </w:divBdr>
            </w:div>
            <w:div w:id="1595242515">
              <w:marLeft w:val="0"/>
              <w:marRight w:val="0"/>
              <w:marTop w:val="0"/>
              <w:marBottom w:val="0"/>
              <w:divBdr>
                <w:top w:val="none" w:sz="0" w:space="0" w:color="auto"/>
                <w:left w:val="none" w:sz="0" w:space="0" w:color="auto"/>
                <w:bottom w:val="none" w:sz="0" w:space="0" w:color="auto"/>
                <w:right w:val="none" w:sz="0" w:space="0" w:color="auto"/>
              </w:divBdr>
            </w:div>
            <w:div w:id="723455177">
              <w:marLeft w:val="0"/>
              <w:marRight w:val="0"/>
              <w:marTop w:val="0"/>
              <w:marBottom w:val="0"/>
              <w:divBdr>
                <w:top w:val="none" w:sz="0" w:space="0" w:color="auto"/>
                <w:left w:val="none" w:sz="0" w:space="0" w:color="auto"/>
                <w:bottom w:val="none" w:sz="0" w:space="0" w:color="auto"/>
                <w:right w:val="none" w:sz="0" w:space="0" w:color="auto"/>
              </w:divBdr>
            </w:div>
            <w:div w:id="2019230150">
              <w:marLeft w:val="0"/>
              <w:marRight w:val="0"/>
              <w:marTop w:val="0"/>
              <w:marBottom w:val="0"/>
              <w:divBdr>
                <w:top w:val="none" w:sz="0" w:space="0" w:color="auto"/>
                <w:left w:val="none" w:sz="0" w:space="0" w:color="auto"/>
                <w:bottom w:val="none" w:sz="0" w:space="0" w:color="auto"/>
                <w:right w:val="none" w:sz="0" w:space="0" w:color="auto"/>
              </w:divBdr>
            </w:div>
            <w:div w:id="230238127">
              <w:marLeft w:val="0"/>
              <w:marRight w:val="0"/>
              <w:marTop w:val="0"/>
              <w:marBottom w:val="0"/>
              <w:divBdr>
                <w:top w:val="none" w:sz="0" w:space="0" w:color="auto"/>
                <w:left w:val="none" w:sz="0" w:space="0" w:color="auto"/>
                <w:bottom w:val="none" w:sz="0" w:space="0" w:color="auto"/>
                <w:right w:val="none" w:sz="0" w:space="0" w:color="auto"/>
              </w:divBdr>
            </w:div>
            <w:div w:id="2073700068">
              <w:marLeft w:val="0"/>
              <w:marRight w:val="0"/>
              <w:marTop w:val="0"/>
              <w:marBottom w:val="0"/>
              <w:divBdr>
                <w:top w:val="none" w:sz="0" w:space="0" w:color="auto"/>
                <w:left w:val="none" w:sz="0" w:space="0" w:color="auto"/>
                <w:bottom w:val="none" w:sz="0" w:space="0" w:color="auto"/>
                <w:right w:val="none" w:sz="0" w:space="0" w:color="auto"/>
              </w:divBdr>
            </w:div>
            <w:div w:id="483740624">
              <w:marLeft w:val="0"/>
              <w:marRight w:val="0"/>
              <w:marTop w:val="0"/>
              <w:marBottom w:val="0"/>
              <w:divBdr>
                <w:top w:val="none" w:sz="0" w:space="0" w:color="auto"/>
                <w:left w:val="none" w:sz="0" w:space="0" w:color="auto"/>
                <w:bottom w:val="none" w:sz="0" w:space="0" w:color="auto"/>
                <w:right w:val="none" w:sz="0" w:space="0" w:color="auto"/>
              </w:divBdr>
            </w:div>
            <w:div w:id="2483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809">
      <w:bodyDiv w:val="1"/>
      <w:marLeft w:val="0"/>
      <w:marRight w:val="0"/>
      <w:marTop w:val="0"/>
      <w:marBottom w:val="0"/>
      <w:divBdr>
        <w:top w:val="none" w:sz="0" w:space="0" w:color="auto"/>
        <w:left w:val="none" w:sz="0" w:space="0" w:color="auto"/>
        <w:bottom w:val="none" w:sz="0" w:space="0" w:color="auto"/>
        <w:right w:val="none" w:sz="0" w:space="0" w:color="auto"/>
      </w:divBdr>
    </w:div>
    <w:div w:id="1444493457">
      <w:bodyDiv w:val="1"/>
      <w:marLeft w:val="0"/>
      <w:marRight w:val="0"/>
      <w:marTop w:val="0"/>
      <w:marBottom w:val="0"/>
      <w:divBdr>
        <w:top w:val="none" w:sz="0" w:space="0" w:color="auto"/>
        <w:left w:val="none" w:sz="0" w:space="0" w:color="auto"/>
        <w:bottom w:val="none" w:sz="0" w:space="0" w:color="auto"/>
        <w:right w:val="none" w:sz="0" w:space="0" w:color="auto"/>
      </w:divBdr>
    </w:div>
    <w:div w:id="1471053330">
      <w:bodyDiv w:val="1"/>
      <w:marLeft w:val="0"/>
      <w:marRight w:val="0"/>
      <w:marTop w:val="0"/>
      <w:marBottom w:val="0"/>
      <w:divBdr>
        <w:top w:val="none" w:sz="0" w:space="0" w:color="auto"/>
        <w:left w:val="none" w:sz="0" w:space="0" w:color="auto"/>
        <w:bottom w:val="none" w:sz="0" w:space="0" w:color="auto"/>
        <w:right w:val="none" w:sz="0" w:space="0" w:color="auto"/>
      </w:divBdr>
    </w:div>
    <w:div w:id="1860122229">
      <w:bodyDiv w:val="1"/>
      <w:marLeft w:val="0"/>
      <w:marRight w:val="0"/>
      <w:marTop w:val="0"/>
      <w:marBottom w:val="0"/>
      <w:divBdr>
        <w:top w:val="none" w:sz="0" w:space="0" w:color="auto"/>
        <w:left w:val="none" w:sz="0" w:space="0" w:color="auto"/>
        <w:bottom w:val="none" w:sz="0" w:space="0" w:color="auto"/>
        <w:right w:val="none" w:sz="0" w:space="0" w:color="auto"/>
      </w:divBdr>
      <w:divsChild>
        <w:div w:id="2111393583">
          <w:marLeft w:val="0"/>
          <w:marRight w:val="0"/>
          <w:marTop w:val="150"/>
          <w:marBottom w:val="0"/>
          <w:divBdr>
            <w:top w:val="none" w:sz="0" w:space="0" w:color="auto"/>
            <w:left w:val="none" w:sz="0" w:space="0" w:color="auto"/>
            <w:bottom w:val="none" w:sz="0" w:space="0" w:color="auto"/>
            <w:right w:val="none" w:sz="0" w:space="0" w:color="auto"/>
          </w:divBdr>
          <w:divsChild>
            <w:div w:id="854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4211">
      <w:bodyDiv w:val="1"/>
      <w:marLeft w:val="0"/>
      <w:marRight w:val="0"/>
      <w:marTop w:val="0"/>
      <w:marBottom w:val="0"/>
      <w:divBdr>
        <w:top w:val="none" w:sz="0" w:space="0" w:color="auto"/>
        <w:left w:val="none" w:sz="0" w:space="0" w:color="auto"/>
        <w:bottom w:val="none" w:sz="0" w:space="0" w:color="auto"/>
        <w:right w:val="none" w:sz="0" w:space="0" w:color="auto"/>
      </w:divBdr>
    </w:div>
    <w:div w:id="20261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ml.org.uk/news/press-releases/december-2016-monthly-lending-trends-press-release/?utm_source=CML%20email%20alerts&amp;utm_medium=email&amp;utm_campaign=CML%20alerts" TargetMode="External"/><Relationship Id="rId2" Type="http://schemas.openxmlformats.org/officeDocument/2006/relationships/hyperlink" Target="https://www.ons.gov.uk/peoplepopulationandcommunity/personalandhouseholdfinances/incomeandwealth/bulletins/smallareamodelbasedincomeestimatesenglandandwales/financialyearending2014" TargetMode="External"/><Relationship Id="rId1" Type="http://schemas.openxmlformats.org/officeDocument/2006/relationships/hyperlink" Target="https://www.ons.gov.uk/peoplepopulationandcommunity/housing/bulletins/housepricestatisticsforsmallareas/yearendingdecember1995toyearendingjun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Hungarton Parish Neighbourhood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686A17-6578-42A1-9C81-942C4344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2588</Words>
  <Characters>14753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Housing Needs Report</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Needs Report</dc:title>
  <dc:subject>January 2018</dc:subject>
  <dc:creator>Catherine Taylor</dc:creator>
  <cp:lastModifiedBy>IAN NELSON</cp:lastModifiedBy>
  <cp:revision>2</cp:revision>
  <cp:lastPrinted>2019-09-17T07:42:00Z</cp:lastPrinted>
  <dcterms:created xsi:type="dcterms:W3CDTF">2021-08-23T10:54:00Z</dcterms:created>
  <dcterms:modified xsi:type="dcterms:W3CDTF">2021-08-23T10:54:00Z</dcterms:modified>
</cp:coreProperties>
</file>