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BFD" w:rsidRDefault="00211BFD" w:rsidP="00211BFD">
      <w:r w:rsidRPr="007102AC">
        <w:rPr>
          <w:noProof/>
          <w:lang w:eastAsia="en-GB"/>
        </w:rPr>
        <w:drawing>
          <wp:inline distT="0" distB="0" distL="0" distR="0">
            <wp:extent cx="4514850" cy="2667000"/>
            <wp:effectExtent l="0" t="0" r="0" b="0"/>
            <wp:docPr id="1" name="Picture 1" descr="C:\Users\jobrien\Desktop\TS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brien\Desktop\TSP.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14850" cy="2667000"/>
                    </a:xfrm>
                    <a:prstGeom prst="rect">
                      <a:avLst/>
                    </a:prstGeom>
                    <a:noFill/>
                    <a:ln>
                      <a:noFill/>
                    </a:ln>
                  </pic:spPr>
                </pic:pic>
              </a:graphicData>
            </a:graphic>
          </wp:inline>
        </w:drawing>
      </w:r>
    </w:p>
    <w:p w:rsidR="00211BFD" w:rsidRDefault="00211BFD" w:rsidP="00211BFD"/>
    <w:p w:rsidR="00211BFD" w:rsidRDefault="00211BFD" w:rsidP="00211BFD"/>
    <w:p w:rsidR="00211BFD" w:rsidRPr="00066A25" w:rsidRDefault="00211BFD" w:rsidP="00211BFD">
      <w:pPr>
        <w:rPr>
          <w:rFonts w:ascii="Calibri" w:hAnsi="Calibri" w:cs="Arial"/>
          <w:b/>
          <w:sz w:val="36"/>
          <w:szCs w:val="36"/>
        </w:rPr>
      </w:pPr>
      <w:r w:rsidRPr="00066A25">
        <w:rPr>
          <w:rFonts w:ascii="Calibri" w:hAnsi="Calibri" w:cs="Arial"/>
          <w:b/>
          <w:sz w:val="36"/>
          <w:szCs w:val="36"/>
        </w:rPr>
        <w:t>Tenant Scrutiny Panel</w:t>
      </w:r>
    </w:p>
    <w:p w:rsidR="00211BFD" w:rsidRPr="00066A25" w:rsidRDefault="00211BFD" w:rsidP="00211BFD">
      <w:pPr>
        <w:rPr>
          <w:rFonts w:ascii="Calibri" w:hAnsi="Calibri" w:cs="Arial"/>
          <w:b/>
          <w:sz w:val="36"/>
          <w:szCs w:val="36"/>
        </w:rPr>
      </w:pPr>
      <w:r w:rsidRPr="00066A25">
        <w:rPr>
          <w:rFonts w:ascii="Calibri" w:hAnsi="Calibri" w:cs="Arial"/>
          <w:b/>
          <w:sz w:val="36"/>
          <w:szCs w:val="36"/>
        </w:rPr>
        <w:t>Report on:  Complaints</w:t>
      </w:r>
    </w:p>
    <w:p w:rsidR="00211BFD" w:rsidRPr="00066A25" w:rsidRDefault="00211BFD" w:rsidP="00211BFD">
      <w:pPr>
        <w:rPr>
          <w:rFonts w:ascii="Calibri" w:hAnsi="Calibri" w:cs="Arial"/>
          <w:b/>
          <w:sz w:val="36"/>
          <w:szCs w:val="36"/>
        </w:rPr>
      </w:pPr>
    </w:p>
    <w:p w:rsidR="00211BFD" w:rsidRPr="00066A25" w:rsidRDefault="00211BFD" w:rsidP="00211BFD">
      <w:pPr>
        <w:rPr>
          <w:rFonts w:ascii="Calibri" w:hAnsi="Calibri" w:cs="Arial"/>
          <w:b/>
          <w:sz w:val="36"/>
          <w:szCs w:val="36"/>
        </w:rPr>
      </w:pPr>
      <w:r w:rsidRPr="00066A25">
        <w:rPr>
          <w:rFonts w:ascii="Calibri" w:hAnsi="Calibri" w:cs="Arial"/>
          <w:b/>
          <w:sz w:val="36"/>
          <w:szCs w:val="36"/>
        </w:rPr>
        <w:t>November 2017</w:t>
      </w:r>
    </w:p>
    <w:p w:rsidR="00211BFD" w:rsidRDefault="00211BFD" w:rsidP="00211BFD">
      <w:pPr>
        <w:rPr>
          <w:rFonts w:cs="Arial"/>
          <w:b/>
          <w:sz w:val="36"/>
          <w:szCs w:val="36"/>
        </w:rPr>
      </w:pPr>
    </w:p>
    <w:p w:rsidR="00211BFD" w:rsidRDefault="00211BFD" w:rsidP="00211BFD">
      <w:pPr>
        <w:rPr>
          <w:rFonts w:cs="Arial"/>
          <w:b/>
          <w:sz w:val="36"/>
          <w:szCs w:val="36"/>
        </w:rPr>
      </w:pPr>
    </w:p>
    <w:p w:rsidR="00211BFD" w:rsidRPr="00066A25" w:rsidRDefault="00211BFD" w:rsidP="00211BFD">
      <w:pPr>
        <w:pStyle w:val="PlainText"/>
        <w:jc w:val="center"/>
        <w:rPr>
          <w:rFonts w:ascii="Calibri" w:hAnsi="Calibri" w:cs="Arial"/>
          <w:b/>
          <w:sz w:val="36"/>
          <w:szCs w:val="36"/>
        </w:rPr>
      </w:pPr>
      <w:r>
        <w:rPr>
          <w:rFonts w:ascii="Arial" w:hAnsi="Arial" w:cs="Arial"/>
          <w:b/>
          <w:sz w:val="36"/>
          <w:szCs w:val="36"/>
        </w:rPr>
        <w:br w:type="page"/>
      </w:r>
      <w:r w:rsidRPr="00066A25">
        <w:rPr>
          <w:rFonts w:ascii="Calibri" w:hAnsi="Calibri" w:cs="Arial"/>
          <w:b/>
          <w:sz w:val="36"/>
          <w:szCs w:val="36"/>
        </w:rPr>
        <w:lastRenderedPageBreak/>
        <w:t>CONTENTS:</w:t>
      </w:r>
    </w:p>
    <w:p w:rsidR="00211BFD" w:rsidRDefault="00211BFD" w:rsidP="00211BFD">
      <w:pPr>
        <w:pStyle w:val="PlainText"/>
        <w:rPr>
          <w:rFonts w:ascii="Arial" w:hAnsi="Arial" w:cs="Arial"/>
          <w:sz w:val="28"/>
          <w:szCs w:val="28"/>
        </w:rPr>
      </w:pPr>
      <w:r>
        <w:rPr>
          <w:rFonts w:ascii="Arial" w:hAnsi="Arial" w:cs="Arial"/>
          <w:sz w:val="28"/>
          <w:szCs w:val="28"/>
        </w:rPr>
        <w:tab/>
      </w:r>
    </w:p>
    <w:p w:rsidR="00211BFD" w:rsidRDefault="00211BFD" w:rsidP="00211BFD">
      <w:pPr>
        <w:pStyle w:val="PlainText"/>
        <w:rPr>
          <w:rFonts w:ascii="Arial" w:hAnsi="Arial" w:cs="Arial"/>
          <w:sz w:val="28"/>
          <w:szCs w:val="28"/>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134"/>
      </w:tblGrid>
      <w:tr w:rsidR="00211BFD" w:rsidTr="001D5D80">
        <w:trPr>
          <w:trHeight w:val="1029"/>
        </w:trPr>
        <w:tc>
          <w:tcPr>
            <w:tcW w:w="8931" w:type="dxa"/>
          </w:tcPr>
          <w:p w:rsidR="00211BFD" w:rsidRPr="00066A25" w:rsidRDefault="00211BFD" w:rsidP="001D5D80">
            <w:pPr>
              <w:jc w:val="center"/>
              <w:rPr>
                <w:rFonts w:ascii="Calibri" w:hAnsi="Calibri" w:cs="Arial"/>
                <w:b/>
                <w:sz w:val="32"/>
                <w:szCs w:val="32"/>
              </w:rPr>
            </w:pPr>
          </w:p>
          <w:p w:rsidR="00211BFD" w:rsidRPr="00066A25" w:rsidRDefault="00211BFD" w:rsidP="001D5D80">
            <w:pPr>
              <w:jc w:val="center"/>
              <w:rPr>
                <w:rFonts w:ascii="Calibri" w:hAnsi="Calibri" w:cs="Arial"/>
                <w:b/>
                <w:sz w:val="32"/>
                <w:szCs w:val="32"/>
              </w:rPr>
            </w:pPr>
            <w:r w:rsidRPr="00066A25">
              <w:rPr>
                <w:rFonts w:ascii="Calibri" w:hAnsi="Calibri" w:cs="Arial"/>
                <w:b/>
                <w:sz w:val="32"/>
                <w:szCs w:val="32"/>
              </w:rPr>
              <w:t>Section:</w:t>
            </w:r>
          </w:p>
          <w:p w:rsidR="00211BFD" w:rsidRPr="00066A25" w:rsidRDefault="00211BFD" w:rsidP="001D5D80">
            <w:pPr>
              <w:jc w:val="center"/>
              <w:rPr>
                <w:rFonts w:ascii="Calibri" w:hAnsi="Calibri" w:cs="Arial"/>
                <w:b/>
                <w:sz w:val="32"/>
                <w:szCs w:val="32"/>
              </w:rPr>
            </w:pPr>
          </w:p>
        </w:tc>
        <w:tc>
          <w:tcPr>
            <w:tcW w:w="1134" w:type="dxa"/>
          </w:tcPr>
          <w:p w:rsidR="00211BFD" w:rsidRPr="00066A25" w:rsidRDefault="00211BFD" w:rsidP="001D5D80">
            <w:pPr>
              <w:jc w:val="center"/>
              <w:rPr>
                <w:rFonts w:ascii="Calibri" w:hAnsi="Calibri" w:cs="Arial"/>
                <w:b/>
                <w:bCs/>
                <w:sz w:val="32"/>
                <w:szCs w:val="32"/>
              </w:rPr>
            </w:pPr>
          </w:p>
          <w:p w:rsidR="00211BFD" w:rsidRPr="00066A25" w:rsidRDefault="00211BFD" w:rsidP="001D5D80">
            <w:pPr>
              <w:jc w:val="center"/>
              <w:rPr>
                <w:rFonts w:ascii="Calibri" w:hAnsi="Calibri" w:cs="Arial"/>
                <w:b/>
                <w:sz w:val="32"/>
                <w:szCs w:val="32"/>
              </w:rPr>
            </w:pPr>
            <w:r w:rsidRPr="00066A25">
              <w:rPr>
                <w:rFonts w:ascii="Calibri" w:hAnsi="Calibri" w:cs="Arial"/>
                <w:b/>
                <w:bCs/>
                <w:sz w:val="32"/>
                <w:szCs w:val="32"/>
              </w:rPr>
              <w:t>Page:</w:t>
            </w:r>
          </w:p>
        </w:tc>
      </w:tr>
      <w:tr w:rsidR="00211BFD" w:rsidTr="001D5D80">
        <w:trPr>
          <w:trHeight w:val="5662"/>
        </w:trPr>
        <w:tc>
          <w:tcPr>
            <w:tcW w:w="8931" w:type="dxa"/>
          </w:tcPr>
          <w:p w:rsidR="00211BFD" w:rsidRPr="003425F2" w:rsidRDefault="00211BFD" w:rsidP="001D5D80">
            <w:pPr>
              <w:pStyle w:val="PlainText"/>
              <w:spacing w:after="240"/>
              <w:ind w:left="720"/>
              <w:rPr>
                <w:rFonts w:ascii="Arial" w:hAnsi="Arial" w:cs="Arial"/>
                <w:sz w:val="28"/>
                <w:szCs w:val="28"/>
              </w:rPr>
            </w:pPr>
            <w:r>
              <w:rPr>
                <w:rFonts w:ascii="Times New Roman" w:hAnsi="Times New Roman" w:cs="Times New Roman"/>
                <w:sz w:val="24"/>
                <w:szCs w:val="24"/>
              </w:rPr>
              <w:br w:type="page"/>
            </w:r>
          </w:p>
          <w:p w:rsidR="00211BFD" w:rsidRDefault="00211BFD" w:rsidP="00211BFD">
            <w:pPr>
              <w:pStyle w:val="PlainText"/>
              <w:numPr>
                <w:ilvl w:val="0"/>
                <w:numId w:val="2"/>
              </w:numPr>
              <w:spacing w:after="240"/>
              <w:rPr>
                <w:rFonts w:ascii="Arial" w:hAnsi="Arial" w:cs="Arial"/>
                <w:sz w:val="28"/>
                <w:szCs w:val="28"/>
              </w:rPr>
            </w:pPr>
            <w:r w:rsidRPr="003425F2">
              <w:rPr>
                <w:rFonts w:ascii="Arial" w:hAnsi="Arial" w:cs="Arial"/>
                <w:sz w:val="28"/>
                <w:szCs w:val="28"/>
              </w:rPr>
              <w:t>Acknowledgements</w:t>
            </w:r>
          </w:p>
          <w:p w:rsidR="00211BFD" w:rsidRDefault="00211BFD" w:rsidP="00211BFD">
            <w:pPr>
              <w:pStyle w:val="PlainText"/>
              <w:numPr>
                <w:ilvl w:val="0"/>
                <w:numId w:val="2"/>
              </w:numPr>
              <w:spacing w:after="240"/>
              <w:rPr>
                <w:rFonts w:ascii="Arial" w:hAnsi="Arial" w:cs="Arial"/>
                <w:sz w:val="28"/>
                <w:szCs w:val="28"/>
              </w:rPr>
            </w:pPr>
            <w:r w:rsidRPr="003425F2">
              <w:rPr>
                <w:rFonts w:ascii="Arial" w:hAnsi="Arial" w:cs="Arial"/>
                <w:sz w:val="28"/>
                <w:szCs w:val="28"/>
              </w:rPr>
              <w:t>Executive Summary</w:t>
            </w:r>
          </w:p>
          <w:p w:rsidR="00211BFD" w:rsidRDefault="00211BFD" w:rsidP="00211BFD">
            <w:pPr>
              <w:pStyle w:val="PlainText"/>
              <w:numPr>
                <w:ilvl w:val="0"/>
                <w:numId w:val="2"/>
              </w:numPr>
              <w:spacing w:after="240"/>
              <w:rPr>
                <w:rFonts w:ascii="Arial" w:hAnsi="Arial" w:cs="Arial"/>
                <w:sz w:val="28"/>
                <w:szCs w:val="28"/>
              </w:rPr>
            </w:pPr>
            <w:r>
              <w:rPr>
                <w:rFonts w:ascii="Arial" w:hAnsi="Arial" w:cs="Arial"/>
                <w:sz w:val="28"/>
                <w:szCs w:val="28"/>
              </w:rPr>
              <w:t>Strengths</w:t>
            </w:r>
          </w:p>
          <w:p w:rsidR="00211BFD" w:rsidRDefault="00211BFD" w:rsidP="00211BFD">
            <w:pPr>
              <w:pStyle w:val="PlainText"/>
              <w:numPr>
                <w:ilvl w:val="0"/>
                <w:numId w:val="2"/>
              </w:numPr>
              <w:spacing w:after="240"/>
              <w:rPr>
                <w:rFonts w:ascii="Arial" w:hAnsi="Arial" w:cs="Arial"/>
                <w:sz w:val="28"/>
                <w:szCs w:val="28"/>
              </w:rPr>
            </w:pPr>
            <w:r w:rsidRPr="003425F2">
              <w:rPr>
                <w:rFonts w:ascii="Arial" w:hAnsi="Arial" w:cs="Arial"/>
                <w:sz w:val="28"/>
                <w:szCs w:val="28"/>
              </w:rPr>
              <w:t>Vision and Strategy</w:t>
            </w:r>
          </w:p>
          <w:p w:rsidR="00211BFD" w:rsidRDefault="00211BFD" w:rsidP="00211BFD">
            <w:pPr>
              <w:pStyle w:val="PlainText"/>
              <w:numPr>
                <w:ilvl w:val="0"/>
                <w:numId w:val="2"/>
              </w:numPr>
              <w:spacing w:after="240"/>
              <w:rPr>
                <w:rFonts w:ascii="Arial" w:hAnsi="Arial" w:cs="Arial"/>
                <w:sz w:val="28"/>
                <w:szCs w:val="28"/>
              </w:rPr>
            </w:pPr>
            <w:r w:rsidRPr="003425F2">
              <w:rPr>
                <w:rFonts w:ascii="Arial" w:hAnsi="Arial" w:cs="Arial"/>
                <w:sz w:val="28"/>
                <w:szCs w:val="28"/>
              </w:rPr>
              <w:t>Report:</w:t>
            </w:r>
          </w:p>
          <w:p w:rsidR="00211BFD" w:rsidRPr="009910EF" w:rsidRDefault="00211BFD" w:rsidP="00211BFD">
            <w:pPr>
              <w:pStyle w:val="PlainText"/>
              <w:numPr>
                <w:ilvl w:val="0"/>
                <w:numId w:val="2"/>
              </w:numPr>
              <w:spacing w:after="240"/>
              <w:rPr>
                <w:rFonts w:ascii="Arial" w:hAnsi="Arial" w:cs="Arial"/>
                <w:sz w:val="28"/>
                <w:szCs w:val="28"/>
              </w:rPr>
            </w:pPr>
            <w:r>
              <w:rPr>
                <w:rFonts w:ascii="Arial" w:hAnsi="Arial" w:cs="Arial"/>
                <w:sz w:val="28"/>
                <w:szCs w:val="28"/>
              </w:rPr>
              <w:t>Methodology</w:t>
            </w:r>
          </w:p>
          <w:p w:rsidR="00211BFD" w:rsidRDefault="00211BFD" w:rsidP="00211BFD">
            <w:pPr>
              <w:pStyle w:val="PlainText"/>
              <w:numPr>
                <w:ilvl w:val="0"/>
                <w:numId w:val="2"/>
              </w:numPr>
              <w:spacing w:after="240"/>
              <w:rPr>
                <w:rFonts w:ascii="Arial" w:hAnsi="Arial" w:cs="Arial"/>
                <w:sz w:val="28"/>
                <w:szCs w:val="28"/>
              </w:rPr>
            </w:pPr>
            <w:r w:rsidRPr="003425F2">
              <w:rPr>
                <w:rFonts w:ascii="Arial" w:eastAsia="MS Mincho" w:hAnsi="Arial" w:cs="Arial"/>
                <w:sz w:val="28"/>
                <w:szCs w:val="28"/>
              </w:rPr>
              <w:t>Aims of the Exercise</w:t>
            </w:r>
          </w:p>
          <w:p w:rsidR="00211BFD" w:rsidRDefault="00211BFD" w:rsidP="00211BFD">
            <w:pPr>
              <w:pStyle w:val="PlainText"/>
              <w:numPr>
                <w:ilvl w:val="0"/>
                <w:numId w:val="2"/>
              </w:numPr>
              <w:spacing w:after="240"/>
              <w:rPr>
                <w:rFonts w:ascii="Arial" w:hAnsi="Arial" w:cs="Arial"/>
                <w:sz w:val="28"/>
                <w:szCs w:val="28"/>
              </w:rPr>
            </w:pPr>
            <w:r w:rsidRPr="003425F2">
              <w:rPr>
                <w:rFonts w:ascii="Arial" w:hAnsi="Arial" w:cs="Arial"/>
                <w:sz w:val="28"/>
                <w:szCs w:val="28"/>
              </w:rPr>
              <w:t>Findings</w:t>
            </w:r>
          </w:p>
          <w:p w:rsidR="00211BFD" w:rsidRDefault="00211BFD" w:rsidP="00211BFD">
            <w:pPr>
              <w:pStyle w:val="PlainText"/>
              <w:numPr>
                <w:ilvl w:val="0"/>
                <w:numId w:val="2"/>
              </w:numPr>
              <w:spacing w:after="240"/>
              <w:rPr>
                <w:rFonts w:ascii="Arial" w:hAnsi="Arial" w:cs="Arial"/>
                <w:sz w:val="28"/>
                <w:szCs w:val="28"/>
              </w:rPr>
            </w:pPr>
            <w:r w:rsidRPr="003425F2">
              <w:rPr>
                <w:rFonts w:ascii="Arial" w:hAnsi="Arial" w:cs="Arial"/>
                <w:sz w:val="28"/>
                <w:szCs w:val="28"/>
              </w:rPr>
              <w:t>Recommendations</w:t>
            </w:r>
          </w:p>
          <w:p w:rsidR="00211BFD" w:rsidRDefault="00211BFD" w:rsidP="001D5D80">
            <w:pPr>
              <w:pStyle w:val="PlainText"/>
              <w:spacing w:after="240"/>
              <w:ind w:left="317"/>
              <w:rPr>
                <w:rFonts w:ascii="Arial" w:hAnsi="Arial" w:cs="Arial"/>
                <w:sz w:val="28"/>
                <w:szCs w:val="28"/>
              </w:rPr>
            </w:pPr>
          </w:p>
        </w:tc>
        <w:tc>
          <w:tcPr>
            <w:tcW w:w="1134" w:type="dxa"/>
          </w:tcPr>
          <w:p w:rsidR="00211BFD" w:rsidRPr="003425F2" w:rsidRDefault="00211BFD" w:rsidP="001D5D80">
            <w:pPr>
              <w:pStyle w:val="PlainText"/>
              <w:spacing w:after="240"/>
              <w:rPr>
                <w:rFonts w:ascii="Arial" w:hAnsi="Arial" w:cs="Arial"/>
                <w:sz w:val="28"/>
                <w:szCs w:val="28"/>
              </w:rPr>
            </w:pPr>
          </w:p>
          <w:p w:rsidR="00211BFD" w:rsidRDefault="00211BFD" w:rsidP="001D5D80">
            <w:pPr>
              <w:pStyle w:val="PlainText"/>
              <w:spacing w:after="240"/>
              <w:jc w:val="center"/>
              <w:rPr>
                <w:rFonts w:ascii="Arial" w:hAnsi="Arial" w:cs="Arial"/>
                <w:sz w:val="28"/>
                <w:szCs w:val="28"/>
              </w:rPr>
            </w:pPr>
          </w:p>
          <w:p w:rsidR="00211BFD" w:rsidRDefault="00211BFD" w:rsidP="001D5D80">
            <w:pPr>
              <w:pStyle w:val="PlainText"/>
              <w:spacing w:after="240"/>
              <w:jc w:val="center"/>
              <w:rPr>
                <w:rFonts w:ascii="Arial" w:hAnsi="Arial" w:cs="Arial"/>
                <w:sz w:val="28"/>
                <w:szCs w:val="28"/>
              </w:rPr>
            </w:pPr>
          </w:p>
          <w:p w:rsidR="00211BFD" w:rsidRPr="003425F2" w:rsidRDefault="00211BFD" w:rsidP="001D5D80">
            <w:pPr>
              <w:pStyle w:val="PlainText"/>
              <w:spacing w:after="240"/>
              <w:jc w:val="center"/>
              <w:rPr>
                <w:rFonts w:ascii="Arial" w:hAnsi="Arial" w:cs="Arial"/>
                <w:sz w:val="28"/>
                <w:szCs w:val="28"/>
              </w:rPr>
            </w:pPr>
          </w:p>
          <w:p w:rsidR="00211BFD" w:rsidRDefault="00211BFD" w:rsidP="001D5D80">
            <w:pPr>
              <w:pStyle w:val="PlainText"/>
              <w:spacing w:after="240"/>
              <w:jc w:val="center"/>
              <w:rPr>
                <w:rFonts w:ascii="Arial" w:hAnsi="Arial" w:cs="Arial"/>
                <w:sz w:val="28"/>
                <w:szCs w:val="28"/>
              </w:rPr>
            </w:pPr>
          </w:p>
          <w:p w:rsidR="00211BFD" w:rsidRDefault="00211BFD" w:rsidP="001D5D80">
            <w:pPr>
              <w:pStyle w:val="PlainText"/>
              <w:spacing w:after="240"/>
              <w:jc w:val="center"/>
              <w:rPr>
                <w:rFonts w:ascii="Arial" w:hAnsi="Arial" w:cs="Arial"/>
                <w:sz w:val="28"/>
                <w:szCs w:val="28"/>
              </w:rPr>
            </w:pPr>
          </w:p>
          <w:p w:rsidR="00211BFD" w:rsidRDefault="00211BFD" w:rsidP="001D5D80">
            <w:pPr>
              <w:pStyle w:val="PlainText"/>
              <w:spacing w:after="240"/>
              <w:jc w:val="center"/>
              <w:rPr>
                <w:rFonts w:ascii="Arial" w:hAnsi="Arial" w:cs="Arial"/>
                <w:sz w:val="28"/>
                <w:szCs w:val="28"/>
              </w:rPr>
            </w:pPr>
          </w:p>
          <w:p w:rsidR="00211BFD" w:rsidRDefault="00211BFD" w:rsidP="001D5D80">
            <w:pPr>
              <w:pStyle w:val="PlainText"/>
              <w:spacing w:after="240"/>
              <w:jc w:val="center"/>
              <w:rPr>
                <w:rFonts w:ascii="Arial" w:hAnsi="Arial" w:cs="Arial"/>
                <w:sz w:val="28"/>
                <w:szCs w:val="28"/>
              </w:rPr>
            </w:pPr>
          </w:p>
          <w:p w:rsidR="00211BFD" w:rsidRDefault="00211BFD" w:rsidP="001D5D80">
            <w:pPr>
              <w:pStyle w:val="PlainText"/>
              <w:spacing w:after="240"/>
              <w:jc w:val="center"/>
              <w:rPr>
                <w:rFonts w:ascii="Arial" w:hAnsi="Arial" w:cs="Arial"/>
                <w:sz w:val="28"/>
                <w:szCs w:val="28"/>
              </w:rPr>
            </w:pPr>
          </w:p>
          <w:p w:rsidR="00211BFD" w:rsidRDefault="00211BFD" w:rsidP="001D5D80">
            <w:pPr>
              <w:pStyle w:val="PlainText"/>
              <w:spacing w:after="240"/>
              <w:jc w:val="center"/>
              <w:rPr>
                <w:rFonts w:ascii="Arial" w:hAnsi="Arial" w:cs="Arial"/>
                <w:sz w:val="28"/>
                <w:szCs w:val="28"/>
              </w:rPr>
            </w:pPr>
          </w:p>
          <w:p w:rsidR="00211BFD" w:rsidRPr="003425F2" w:rsidRDefault="00211BFD" w:rsidP="001D5D80">
            <w:pPr>
              <w:pStyle w:val="PlainText"/>
              <w:spacing w:after="240"/>
              <w:rPr>
                <w:rFonts w:ascii="Arial" w:hAnsi="Arial" w:cs="Arial"/>
                <w:sz w:val="28"/>
                <w:szCs w:val="28"/>
              </w:rPr>
            </w:pPr>
          </w:p>
          <w:p w:rsidR="00211BFD" w:rsidRPr="003425F2" w:rsidRDefault="00211BFD" w:rsidP="001D5D80">
            <w:pPr>
              <w:pStyle w:val="PlainText"/>
              <w:spacing w:after="240"/>
              <w:jc w:val="center"/>
              <w:rPr>
                <w:rFonts w:ascii="Arial" w:hAnsi="Arial" w:cs="Arial"/>
                <w:sz w:val="28"/>
                <w:szCs w:val="28"/>
              </w:rPr>
            </w:pPr>
          </w:p>
          <w:p w:rsidR="00211BFD" w:rsidRPr="003425F2" w:rsidRDefault="00211BFD" w:rsidP="001D5D80">
            <w:pPr>
              <w:pStyle w:val="PlainText"/>
              <w:spacing w:after="240"/>
              <w:jc w:val="center"/>
              <w:rPr>
                <w:rFonts w:ascii="Arial" w:hAnsi="Arial" w:cs="Arial"/>
                <w:sz w:val="28"/>
                <w:szCs w:val="28"/>
              </w:rPr>
            </w:pPr>
          </w:p>
          <w:p w:rsidR="00211BFD" w:rsidRPr="003425F2" w:rsidRDefault="00211BFD" w:rsidP="001D5D80">
            <w:pPr>
              <w:pStyle w:val="PlainText"/>
              <w:spacing w:after="240"/>
              <w:jc w:val="center"/>
              <w:rPr>
                <w:rFonts w:ascii="Arial" w:hAnsi="Arial" w:cs="Arial"/>
                <w:sz w:val="28"/>
                <w:szCs w:val="28"/>
              </w:rPr>
            </w:pPr>
          </w:p>
          <w:p w:rsidR="00211BFD" w:rsidRPr="003425F2" w:rsidRDefault="00211BFD" w:rsidP="001D5D80">
            <w:pPr>
              <w:pStyle w:val="PlainText"/>
              <w:spacing w:after="240"/>
              <w:jc w:val="center"/>
              <w:rPr>
                <w:rFonts w:ascii="Arial" w:hAnsi="Arial" w:cs="Arial"/>
                <w:sz w:val="28"/>
                <w:szCs w:val="28"/>
              </w:rPr>
            </w:pPr>
          </w:p>
          <w:p w:rsidR="00211BFD" w:rsidRPr="003425F2" w:rsidRDefault="00211BFD" w:rsidP="001D5D80">
            <w:pPr>
              <w:pStyle w:val="PlainText"/>
              <w:spacing w:after="240"/>
              <w:jc w:val="center"/>
              <w:rPr>
                <w:rFonts w:ascii="Arial" w:hAnsi="Arial" w:cs="Arial"/>
                <w:sz w:val="28"/>
                <w:szCs w:val="28"/>
              </w:rPr>
            </w:pPr>
          </w:p>
          <w:p w:rsidR="00211BFD" w:rsidRPr="003425F2" w:rsidRDefault="00211BFD" w:rsidP="001D5D80">
            <w:pPr>
              <w:pStyle w:val="PlainText"/>
              <w:spacing w:after="240"/>
              <w:jc w:val="center"/>
              <w:rPr>
                <w:rFonts w:ascii="Arial" w:hAnsi="Arial" w:cs="Arial"/>
                <w:sz w:val="28"/>
                <w:szCs w:val="28"/>
              </w:rPr>
            </w:pPr>
          </w:p>
          <w:p w:rsidR="00211BFD" w:rsidRPr="003425F2" w:rsidRDefault="00211BFD" w:rsidP="001D5D80">
            <w:pPr>
              <w:pStyle w:val="PlainText"/>
              <w:spacing w:after="240"/>
              <w:jc w:val="center"/>
              <w:rPr>
                <w:rFonts w:ascii="Arial" w:hAnsi="Arial" w:cs="Arial"/>
                <w:sz w:val="28"/>
                <w:szCs w:val="28"/>
              </w:rPr>
            </w:pPr>
          </w:p>
          <w:p w:rsidR="00211BFD" w:rsidRPr="003425F2" w:rsidRDefault="00211BFD" w:rsidP="001D5D80">
            <w:pPr>
              <w:pStyle w:val="PlainText"/>
              <w:spacing w:after="240"/>
              <w:jc w:val="center"/>
              <w:rPr>
                <w:rFonts w:ascii="Arial" w:hAnsi="Arial" w:cs="Arial"/>
                <w:sz w:val="28"/>
                <w:szCs w:val="28"/>
              </w:rPr>
            </w:pPr>
          </w:p>
          <w:p w:rsidR="00211BFD" w:rsidRPr="003425F2" w:rsidRDefault="00211BFD" w:rsidP="001D5D80">
            <w:pPr>
              <w:pStyle w:val="PlainText"/>
              <w:spacing w:after="240"/>
              <w:jc w:val="center"/>
              <w:rPr>
                <w:rFonts w:ascii="Arial" w:hAnsi="Arial" w:cs="Arial"/>
                <w:sz w:val="28"/>
                <w:szCs w:val="28"/>
              </w:rPr>
            </w:pPr>
          </w:p>
          <w:p w:rsidR="00211BFD" w:rsidRPr="003425F2" w:rsidRDefault="00211BFD" w:rsidP="001D5D80">
            <w:pPr>
              <w:pStyle w:val="PlainText"/>
              <w:spacing w:after="240"/>
              <w:rPr>
                <w:rFonts w:ascii="Arial" w:hAnsi="Arial" w:cs="Arial"/>
                <w:sz w:val="28"/>
                <w:szCs w:val="28"/>
              </w:rPr>
            </w:pPr>
          </w:p>
        </w:tc>
      </w:tr>
      <w:tr w:rsidR="00211BFD" w:rsidTr="001D5D80">
        <w:trPr>
          <w:trHeight w:val="1383"/>
        </w:trPr>
        <w:tc>
          <w:tcPr>
            <w:tcW w:w="8931" w:type="dxa"/>
          </w:tcPr>
          <w:p w:rsidR="00211BFD" w:rsidRPr="00066A25" w:rsidRDefault="00211BFD" w:rsidP="001D5D80">
            <w:pPr>
              <w:pStyle w:val="PlainText"/>
              <w:rPr>
                <w:rFonts w:ascii="Calibri" w:hAnsi="Calibri" w:cs="Arial"/>
                <w:sz w:val="32"/>
                <w:szCs w:val="32"/>
              </w:rPr>
            </w:pPr>
          </w:p>
          <w:p w:rsidR="00211BFD" w:rsidRPr="00066A25" w:rsidRDefault="00211BFD" w:rsidP="001D5D80">
            <w:pPr>
              <w:pStyle w:val="PlainText"/>
              <w:rPr>
                <w:rFonts w:ascii="Calibri" w:hAnsi="Calibri" w:cs="Arial"/>
                <w:b/>
                <w:sz w:val="32"/>
                <w:szCs w:val="32"/>
              </w:rPr>
            </w:pPr>
            <w:r w:rsidRPr="00066A25">
              <w:rPr>
                <w:rFonts w:ascii="Calibri" w:hAnsi="Calibri" w:cs="Arial"/>
                <w:b/>
                <w:sz w:val="32"/>
                <w:szCs w:val="32"/>
              </w:rPr>
              <w:t>Appendices:</w:t>
            </w:r>
          </w:p>
          <w:p w:rsidR="00211BFD" w:rsidRPr="003425F2" w:rsidRDefault="00211BFD" w:rsidP="001D5D80">
            <w:pPr>
              <w:pStyle w:val="PlainText"/>
              <w:rPr>
                <w:rFonts w:ascii="Arial" w:hAnsi="Arial" w:cs="Arial"/>
                <w:sz w:val="24"/>
                <w:szCs w:val="24"/>
              </w:rPr>
            </w:pPr>
          </w:p>
          <w:p w:rsidR="00211BFD" w:rsidRDefault="00211BFD" w:rsidP="001D5D80">
            <w:pPr>
              <w:spacing w:after="240"/>
              <w:rPr>
                <w:rFonts w:cs="Arial"/>
              </w:rPr>
            </w:pPr>
            <w:r>
              <w:rPr>
                <w:rFonts w:cs="Arial"/>
              </w:rPr>
              <w:t>Appendix 1: NWLDC STAR Survey 2015</w:t>
            </w:r>
          </w:p>
          <w:p w:rsidR="00211BFD" w:rsidRDefault="00211BFD" w:rsidP="001D5D80">
            <w:pPr>
              <w:spacing w:after="240"/>
              <w:rPr>
                <w:rFonts w:cs="Arial"/>
              </w:rPr>
            </w:pPr>
            <w:r>
              <w:rPr>
                <w:rFonts w:cs="Arial"/>
              </w:rPr>
              <w:t>Appendix 2A: NWLDC Complaints Policy</w:t>
            </w:r>
          </w:p>
          <w:p w:rsidR="00211BFD" w:rsidRPr="003425F2" w:rsidRDefault="00211BFD" w:rsidP="001D5D80">
            <w:pPr>
              <w:spacing w:after="240"/>
              <w:rPr>
                <w:rFonts w:cs="Arial"/>
              </w:rPr>
            </w:pPr>
            <w:r>
              <w:rPr>
                <w:rFonts w:cs="Arial"/>
              </w:rPr>
              <w:t>Appendix 2B: NWLDC Complaints Procedure</w:t>
            </w:r>
          </w:p>
          <w:p w:rsidR="00211BFD" w:rsidRDefault="00211BFD" w:rsidP="001D5D80">
            <w:pPr>
              <w:tabs>
                <w:tab w:val="left" w:pos="1463"/>
              </w:tabs>
              <w:spacing w:after="240"/>
              <w:ind w:left="1463" w:hanging="1463"/>
              <w:rPr>
                <w:rFonts w:cs="Arial"/>
              </w:rPr>
            </w:pPr>
            <w:r>
              <w:rPr>
                <w:rFonts w:cs="Arial"/>
              </w:rPr>
              <w:t>Appendix 3A: Meeting with Rommel Villarico</w:t>
            </w:r>
          </w:p>
          <w:p w:rsidR="00211BFD" w:rsidRDefault="00211BFD" w:rsidP="001D5D80">
            <w:pPr>
              <w:tabs>
                <w:tab w:val="left" w:pos="1463"/>
              </w:tabs>
              <w:spacing w:after="240"/>
              <w:ind w:left="1463" w:hanging="1463"/>
              <w:rPr>
                <w:rFonts w:cs="Arial"/>
              </w:rPr>
            </w:pPr>
            <w:r>
              <w:rPr>
                <w:rFonts w:cs="Arial"/>
              </w:rPr>
              <w:t xml:space="preserve">Appendix 3B: Meeting with Andrew Hickling </w:t>
            </w:r>
          </w:p>
          <w:p w:rsidR="00211BFD" w:rsidRDefault="00211BFD" w:rsidP="001D5D80">
            <w:pPr>
              <w:tabs>
                <w:tab w:val="left" w:pos="1463"/>
              </w:tabs>
              <w:spacing w:after="240"/>
              <w:ind w:left="1463" w:hanging="1463"/>
              <w:rPr>
                <w:rFonts w:cs="Arial"/>
              </w:rPr>
            </w:pPr>
            <w:r>
              <w:rPr>
                <w:rFonts w:cs="Arial"/>
              </w:rPr>
              <w:t>Appendix 3C: Meeting with Joanne Day</w:t>
            </w:r>
          </w:p>
          <w:p w:rsidR="00211BFD" w:rsidRDefault="00211BFD" w:rsidP="001D5D80">
            <w:pPr>
              <w:tabs>
                <w:tab w:val="left" w:pos="1463"/>
              </w:tabs>
              <w:spacing w:after="240"/>
              <w:ind w:left="1463" w:hanging="1463"/>
              <w:rPr>
                <w:rFonts w:cs="Arial"/>
              </w:rPr>
            </w:pPr>
            <w:r>
              <w:rPr>
                <w:rFonts w:cs="Arial"/>
              </w:rPr>
              <w:t>Appendix 3D: Meeting with Chris Lambert</w:t>
            </w:r>
          </w:p>
          <w:p w:rsidR="00211BFD" w:rsidRDefault="00211BFD" w:rsidP="001D5D80">
            <w:pPr>
              <w:spacing w:after="240"/>
              <w:ind w:left="1440" w:hanging="1440"/>
              <w:rPr>
                <w:rFonts w:cs="Arial"/>
              </w:rPr>
            </w:pPr>
            <w:r>
              <w:rPr>
                <w:rFonts w:cs="Arial"/>
              </w:rPr>
              <w:t>Appendix 4A: Open Complaints April 2017</w:t>
            </w:r>
          </w:p>
          <w:p w:rsidR="00211BFD" w:rsidRDefault="00211BFD" w:rsidP="001D5D80">
            <w:pPr>
              <w:spacing w:after="240"/>
              <w:ind w:left="1440" w:hanging="1440"/>
              <w:rPr>
                <w:rFonts w:cs="Arial"/>
              </w:rPr>
            </w:pPr>
            <w:r>
              <w:rPr>
                <w:rFonts w:cs="Arial"/>
              </w:rPr>
              <w:t>Appendix 4B: Feedback Received in Housing 2015-16</w:t>
            </w:r>
          </w:p>
          <w:p w:rsidR="00211BFD" w:rsidRDefault="00211BFD" w:rsidP="001D5D80">
            <w:pPr>
              <w:spacing w:after="240"/>
              <w:ind w:left="1440" w:hanging="1440"/>
              <w:rPr>
                <w:rFonts w:cs="Arial"/>
              </w:rPr>
            </w:pPr>
            <w:r>
              <w:rPr>
                <w:rFonts w:cs="Arial"/>
              </w:rPr>
              <w:t>Appendix 4C: SMT Report Complaints Performance and Learning</w:t>
            </w:r>
          </w:p>
          <w:p w:rsidR="00211BFD" w:rsidRDefault="00211BFD" w:rsidP="001D5D80">
            <w:pPr>
              <w:spacing w:after="240"/>
              <w:ind w:left="1440" w:hanging="1440"/>
              <w:rPr>
                <w:rFonts w:cs="Arial"/>
              </w:rPr>
            </w:pPr>
            <w:r>
              <w:rPr>
                <w:rFonts w:cs="Arial"/>
              </w:rPr>
              <w:t>Appendix 4D: SMT Report Complaints Learning</w:t>
            </w:r>
          </w:p>
          <w:p w:rsidR="00211BFD" w:rsidRPr="003425F2" w:rsidRDefault="00211BFD" w:rsidP="001D5D80">
            <w:pPr>
              <w:spacing w:after="240"/>
              <w:ind w:left="1440" w:hanging="1440"/>
              <w:rPr>
                <w:rFonts w:cs="Arial"/>
              </w:rPr>
            </w:pPr>
            <w:r>
              <w:rPr>
                <w:rFonts w:cs="Arial"/>
              </w:rPr>
              <w:t>Appendix 4E: Open complaints at June 2017 Anonymised</w:t>
            </w:r>
          </w:p>
          <w:p w:rsidR="00211BFD" w:rsidRPr="003425F2" w:rsidRDefault="00211BFD" w:rsidP="001D5D80">
            <w:pPr>
              <w:spacing w:after="240"/>
              <w:rPr>
                <w:rFonts w:cs="Arial"/>
                <w:sz w:val="28"/>
                <w:szCs w:val="28"/>
              </w:rPr>
            </w:pPr>
          </w:p>
        </w:tc>
        <w:tc>
          <w:tcPr>
            <w:tcW w:w="1134" w:type="dxa"/>
          </w:tcPr>
          <w:p w:rsidR="00211BFD" w:rsidRPr="003425F2" w:rsidRDefault="00211BFD" w:rsidP="001D5D80">
            <w:pPr>
              <w:pStyle w:val="PlainText"/>
              <w:ind w:left="1440" w:hanging="1440"/>
              <w:rPr>
                <w:rFonts w:ascii="Arial" w:hAnsi="Arial" w:cs="Arial"/>
                <w:sz w:val="28"/>
                <w:szCs w:val="28"/>
              </w:rPr>
            </w:pPr>
          </w:p>
        </w:tc>
      </w:tr>
    </w:tbl>
    <w:p w:rsidR="00211BFD" w:rsidRDefault="00211BFD" w:rsidP="00211BFD"/>
    <w:p w:rsidR="00211BFD" w:rsidRPr="00066A25" w:rsidRDefault="00211BFD" w:rsidP="00211BFD">
      <w:pPr>
        <w:pStyle w:val="PlainText"/>
        <w:numPr>
          <w:ilvl w:val="0"/>
          <w:numId w:val="1"/>
        </w:numPr>
        <w:ind w:left="426" w:hanging="426"/>
        <w:rPr>
          <w:rFonts w:ascii="Calibri" w:hAnsi="Calibri" w:cs="Arial"/>
          <w:sz w:val="32"/>
          <w:szCs w:val="32"/>
        </w:rPr>
      </w:pPr>
      <w:r w:rsidRPr="00066A25">
        <w:rPr>
          <w:rFonts w:ascii="Calibri" w:hAnsi="Calibri" w:cs="Arial"/>
          <w:b/>
          <w:bCs/>
          <w:sz w:val="32"/>
          <w:szCs w:val="32"/>
        </w:rPr>
        <w:lastRenderedPageBreak/>
        <w:t>Acknowledgements</w:t>
      </w:r>
    </w:p>
    <w:p w:rsidR="00211BFD" w:rsidRPr="0059459A" w:rsidRDefault="00211BFD" w:rsidP="00211BFD">
      <w:pPr>
        <w:pStyle w:val="PlainText"/>
        <w:rPr>
          <w:rFonts w:ascii="Arial" w:hAnsi="Arial" w:cs="Arial"/>
          <w:sz w:val="22"/>
          <w:szCs w:val="22"/>
        </w:rPr>
      </w:pPr>
    </w:p>
    <w:p w:rsidR="00211BFD" w:rsidRPr="0059459A" w:rsidRDefault="00211BFD" w:rsidP="00211BFD">
      <w:pPr>
        <w:pStyle w:val="PlainText"/>
        <w:ind w:left="426"/>
        <w:rPr>
          <w:rFonts w:ascii="Arial" w:hAnsi="Arial" w:cs="Arial"/>
          <w:sz w:val="22"/>
          <w:szCs w:val="22"/>
        </w:rPr>
      </w:pPr>
      <w:r w:rsidRPr="0059459A">
        <w:rPr>
          <w:rFonts w:ascii="Arial" w:hAnsi="Arial" w:cs="Arial"/>
          <w:sz w:val="22"/>
          <w:szCs w:val="22"/>
        </w:rPr>
        <w:t xml:space="preserve">The Tenant Scrutiny Panel (TSP) gratefully acknowledges the support, guidance and assistance provided by the members of the Housing </w:t>
      </w:r>
      <w:r>
        <w:rPr>
          <w:rFonts w:ascii="Arial" w:hAnsi="Arial" w:cs="Arial"/>
          <w:sz w:val="22"/>
          <w:szCs w:val="22"/>
        </w:rPr>
        <w:t>Team, including Glyn Jones, Neil Barks, Chris Lambert, Joanne Day, Rommel Villarico</w:t>
      </w:r>
      <w:r w:rsidRPr="0059459A">
        <w:rPr>
          <w:rFonts w:ascii="Arial" w:hAnsi="Arial" w:cs="Arial"/>
          <w:sz w:val="22"/>
          <w:szCs w:val="22"/>
        </w:rPr>
        <w:t xml:space="preserve"> and</w:t>
      </w:r>
      <w:r>
        <w:rPr>
          <w:rFonts w:ascii="Arial" w:hAnsi="Arial" w:cs="Arial"/>
          <w:sz w:val="22"/>
          <w:szCs w:val="22"/>
        </w:rPr>
        <w:t xml:space="preserve"> additionally Andrew Hickling from the Business Improvement Team. The Panel would also like to thank the Resident Involvement T</w:t>
      </w:r>
      <w:r w:rsidRPr="0059459A">
        <w:rPr>
          <w:rFonts w:ascii="Arial" w:hAnsi="Arial" w:cs="Arial"/>
          <w:sz w:val="22"/>
          <w:szCs w:val="22"/>
        </w:rPr>
        <w:t>eam – Justin O’Brien</w:t>
      </w:r>
      <w:r>
        <w:rPr>
          <w:rFonts w:ascii="Arial" w:hAnsi="Arial" w:cs="Arial"/>
          <w:sz w:val="22"/>
          <w:szCs w:val="22"/>
        </w:rPr>
        <w:t>,</w:t>
      </w:r>
      <w:r w:rsidRPr="0059459A">
        <w:rPr>
          <w:rFonts w:ascii="Arial" w:hAnsi="Arial" w:cs="Arial"/>
          <w:sz w:val="22"/>
          <w:szCs w:val="22"/>
        </w:rPr>
        <w:t xml:space="preserve"> </w:t>
      </w:r>
      <w:r>
        <w:rPr>
          <w:rFonts w:ascii="Arial" w:hAnsi="Arial" w:cs="Arial"/>
          <w:sz w:val="22"/>
          <w:szCs w:val="22"/>
        </w:rPr>
        <w:t xml:space="preserve">Laura Smythe and Steve Everson, and also </w:t>
      </w:r>
      <w:r w:rsidRPr="0059459A">
        <w:rPr>
          <w:rFonts w:ascii="Arial" w:hAnsi="Arial" w:cs="Arial"/>
          <w:sz w:val="22"/>
          <w:szCs w:val="22"/>
        </w:rPr>
        <w:t xml:space="preserve">Cllr </w:t>
      </w:r>
      <w:r>
        <w:rPr>
          <w:rFonts w:ascii="Arial" w:hAnsi="Arial" w:cs="Arial"/>
          <w:sz w:val="22"/>
          <w:szCs w:val="22"/>
        </w:rPr>
        <w:t>Roger Bayliss, Portfolio Holder for Housing for his ongoing encouragement, support, and guidance.</w:t>
      </w:r>
      <w:r w:rsidRPr="0059459A">
        <w:rPr>
          <w:rFonts w:ascii="Arial" w:hAnsi="Arial" w:cs="Arial"/>
          <w:sz w:val="22"/>
          <w:szCs w:val="22"/>
        </w:rPr>
        <w:t xml:space="preserve"> Also many thanks to Rob Webb for</w:t>
      </w:r>
      <w:r>
        <w:rPr>
          <w:rFonts w:ascii="Arial" w:hAnsi="Arial" w:cs="Arial"/>
          <w:sz w:val="22"/>
          <w:szCs w:val="22"/>
        </w:rPr>
        <w:t xml:space="preserve"> his training on the subject.</w:t>
      </w:r>
    </w:p>
    <w:p w:rsidR="00211BFD" w:rsidRPr="0059459A" w:rsidRDefault="00211BFD" w:rsidP="00211BFD">
      <w:pPr>
        <w:pStyle w:val="PlainText"/>
        <w:rPr>
          <w:rFonts w:ascii="Arial" w:hAnsi="Arial" w:cs="Arial"/>
          <w:sz w:val="22"/>
          <w:szCs w:val="22"/>
        </w:rPr>
      </w:pPr>
    </w:p>
    <w:p w:rsidR="00211BFD" w:rsidRPr="00066A25" w:rsidRDefault="00211BFD" w:rsidP="00211BFD">
      <w:pPr>
        <w:pStyle w:val="PlainText"/>
        <w:numPr>
          <w:ilvl w:val="0"/>
          <w:numId w:val="1"/>
        </w:numPr>
        <w:ind w:left="426" w:hanging="426"/>
        <w:rPr>
          <w:rFonts w:ascii="Calibri" w:hAnsi="Calibri" w:cs="Arial"/>
          <w:sz w:val="32"/>
          <w:szCs w:val="32"/>
        </w:rPr>
      </w:pPr>
      <w:r w:rsidRPr="00066A25">
        <w:rPr>
          <w:rFonts w:ascii="Calibri" w:hAnsi="Calibri" w:cs="Arial"/>
          <w:b/>
          <w:bCs/>
          <w:sz w:val="32"/>
          <w:szCs w:val="32"/>
        </w:rPr>
        <w:t>Executive Summary</w:t>
      </w:r>
    </w:p>
    <w:p w:rsidR="00211BFD" w:rsidRDefault="00211BFD" w:rsidP="00211BFD">
      <w:pPr>
        <w:pStyle w:val="PlainText"/>
        <w:tabs>
          <w:tab w:val="left" w:pos="1440"/>
        </w:tabs>
        <w:rPr>
          <w:rFonts w:ascii="Arial" w:hAnsi="Arial" w:cs="Arial"/>
          <w:sz w:val="22"/>
          <w:szCs w:val="22"/>
        </w:rPr>
      </w:pPr>
    </w:p>
    <w:p w:rsidR="00211BFD" w:rsidRDefault="00211BFD" w:rsidP="00211BFD">
      <w:pPr>
        <w:pStyle w:val="PlainText"/>
        <w:tabs>
          <w:tab w:val="left" w:pos="1440"/>
        </w:tabs>
        <w:ind w:left="426"/>
        <w:rPr>
          <w:rFonts w:ascii="Arial" w:hAnsi="Arial" w:cs="Arial"/>
          <w:sz w:val="22"/>
          <w:szCs w:val="22"/>
        </w:rPr>
      </w:pPr>
      <w:r w:rsidRPr="00084F38">
        <w:rPr>
          <w:rFonts w:ascii="Arial" w:hAnsi="Arial" w:cs="Arial"/>
          <w:sz w:val="22"/>
          <w:szCs w:val="22"/>
        </w:rPr>
        <w:t>The TS</w:t>
      </w:r>
      <w:r>
        <w:rPr>
          <w:rFonts w:ascii="Arial" w:hAnsi="Arial" w:cs="Arial"/>
          <w:sz w:val="22"/>
          <w:szCs w:val="22"/>
        </w:rPr>
        <w:t>P made the decision to inspect the Complaints Service as a result of analysing data (as reported in the NWLDC STAR Survey 2015, appendix 1) revealing that the level of customer satisfaction for how the Housing Service deals with complaints was lower than expected. I</w:t>
      </w:r>
      <w:r w:rsidRPr="00084F38">
        <w:rPr>
          <w:rFonts w:ascii="Arial" w:hAnsi="Arial" w:cs="Arial"/>
          <w:sz w:val="22"/>
          <w:szCs w:val="22"/>
        </w:rPr>
        <w:t>t became apparent</w:t>
      </w:r>
      <w:r>
        <w:rPr>
          <w:rFonts w:ascii="Arial" w:hAnsi="Arial" w:cs="Arial"/>
          <w:sz w:val="22"/>
          <w:szCs w:val="22"/>
        </w:rPr>
        <w:t xml:space="preserve"> from information gathered during our inspection that the current NWLDC Complaints policy leads to high tenant expectations.</w:t>
      </w:r>
    </w:p>
    <w:p w:rsidR="00211BFD" w:rsidRDefault="00211BFD" w:rsidP="00211BFD">
      <w:pPr>
        <w:pStyle w:val="PlainText"/>
        <w:tabs>
          <w:tab w:val="left" w:pos="1440"/>
        </w:tabs>
        <w:ind w:left="426"/>
        <w:rPr>
          <w:rFonts w:ascii="Arial" w:hAnsi="Arial" w:cs="Arial"/>
          <w:sz w:val="22"/>
          <w:szCs w:val="22"/>
        </w:rPr>
      </w:pPr>
    </w:p>
    <w:p w:rsidR="00211BFD" w:rsidRDefault="00211BFD" w:rsidP="00211BFD">
      <w:pPr>
        <w:pStyle w:val="PlainText"/>
        <w:tabs>
          <w:tab w:val="left" w:pos="1440"/>
        </w:tabs>
        <w:ind w:left="426"/>
        <w:rPr>
          <w:rFonts w:ascii="Arial" w:hAnsi="Arial" w:cs="Arial"/>
          <w:sz w:val="22"/>
          <w:szCs w:val="22"/>
        </w:rPr>
      </w:pPr>
    </w:p>
    <w:p w:rsidR="00211BFD" w:rsidRPr="00CE30FB" w:rsidRDefault="00211BFD" w:rsidP="00211BFD">
      <w:pPr>
        <w:pStyle w:val="PlainText"/>
        <w:tabs>
          <w:tab w:val="left" w:pos="1440"/>
        </w:tabs>
        <w:ind w:left="426"/>
        <w:rPr>
          <w:rFonts w:ascii="Arial" w:hAnsi="Arial" w:cs="Arial"/>
          <w:sz w:val="32"/>
          <w:szCs w:val="32"/>
        </w:rPr>
      </w:pPr>
    </w:p>
    <w:p w:rsidR="00211BFD" w:rsidRPr="00066A25" w:rsidRDefault="00211BFD" w:rsidP="00211BFD">
      <w:pPr>
        <w:pStyle w:val="PlainText"/>
        <w:numPr>
          <w:ilvl w:val="0"/>
          <w:numId w:val="1"/>
        </w:numPr>
        <w:ind w:left="426" w:hanging="426"/>
        <w:rPr>
          <w:rFonts w:ascii="Calibri" w:hAnsi="Calibri" w:cs="Arial"/>
          <w:sz w:val="32"/>
          <w:szCs w:val="32"/>
        </w:rPr>
      </w:pPr>
      <w:r w:rsidRPr="00066A25">
        <w:rPr>
          <w:rFonts w:ascii="Calibri" w:hAnsi="Calibri" w:cs="Arial"/>
          <w:b/>
          <w:bCs/>
          <w:sz w:val="32"/>
          <w:szCs w:val="32"/>
        </w:rPr>
        <w:t>Strengths:</w:t>
      </w:r>
    </w:p>
    <w:p w:rsidR="00211BFD" w:rsidRPr="00E21510" w:rsidRDefault="00211BFD" w:rsidP="00211BFD">
      <w:pPr>
        <w:pStyle w:val="PlainText"/>
        <w:rPr>
          <w:rFonts w:ascii="Arial" w:hAnsi="Arial" w:cs="Arial"/>
          <w:b/>
          <w:sz w:val="22"/>
          <w:szCs w:val="22"/>
        </w:rPr>
      </w:pPr>
    </w:p>
    <w:p w:rsidR="00211BFD" w:rsidRDefault="00211BFD" w:rsidP="00211BFD">
      <w:pPr>
        <w:pStyle w:val="PlainText"/>
        <w:numPr>
          <w:ilvl w:val="1"/>
          <w:numId w:val="1"/>
        </w:numPr>
        <w:ind w:left="567" w:hanging="567"/>
        <w:rPr>
          <w:rFonts w:ascii="Arial" w:hAnsi="Arial" w:cs="Arial"/>
          <w:sz w:val="22"/>
          <w:szCs w:val="22"/>
        </w:rPr>
      </w:pPr>
      <w:r>
        <w:rPr>
          <w:rFonts w:ascii="Arial" w:hAnsi="Arial" w:cs="Arial"/>
          <w:sz w:val="22"/>
          <w:szCs w:val="22"/>
        </w:rPr>
        <w:t xml:space="preserve">The TSP is a group of (currently) six volunteers </w:t>
      </w:r>
      <w:r w:rsidRPr="00250786">
        <w:rPr>
          <w:rFonts w:ascii="Arial" w:hAnsi="Arial" w:cs="Arial"/>
          <w:sz w:val="22"/>
          <w:szCs w:val="22"/>
        </w:rPr>
        <w:t>who are</w:t>
      </w:r>
      <w:r>
        <w:rPr>
          <w:rFonts w:ascii="Arial" w:hAnsi="Arial" w:cs="Arial"/>
          <w:sz w:val="22"/>
          <w:szCs w:val="22"/>
        </w:rPr>
        <w:t xml:space="preserve"> tenants and residents of NWLDC.</w:t>
      </w:r>
      <w:r w:rsidRPr="00250786">
        <w:rPr>
          <w:rFonts w:ascii="Arial" w:hAnsi="Arial" w:cs="Arial"/>
          <w:sz w:val="22"/>
          <w:szCs w:val="22"/>
        </w:rPr>
        <w:t xml:space="preserve"> </w:t>
      </w:r>
      <w:r>
        <w:rPr>
          <w:rFonts w:ascii="Arial" w:hAnsi="Arial" w:cs="Arial"/>
          <w:sz w:val="22"/>
          <w:szCs w:val="22"/>
        </w:rPr>
        <w:t xml:space="preserve">Individually they have various different skill sets and, as part of their aims and objectives, seek to improve their skills and value to the group and to NWLDC by identifying development needs and attending relevant training.  </w:t>
      </w:r>
    </w:p>
    <w:p w:rsidR="00211BFD" w:rsidRDefault="00211BFD" w:rsidP="00211BFD">
      <w:pPr>
        <w:pStyle w:val="PlainText"/>
        <w:numPr>
          <w:ilvl w:val="1"/>
          <w:numId w:val="1"/>
        </w:numPr>
        <w:ind w:left="567" w:hanging="567"/>
        <w:rPr>
          <w:rFonts w:ascii="Arial" w:hAnsi="Arial" w:cs="Arial"/>
          <w:sz w:val="22"/>
          <w:szCs w:val="22"/>
        </w:rPr>
      </w:pPr>
      <w:r>
        <w:rPr>
          <w:rFonts w:ascii="Arial" w:hAnsi="Arial" w:cs="Arial"/>
          <w:sz w:val="22"/>
          <w:szCs w:val="22"/>
        </w:rPr>
        <w:t>Each member has completed the level 2 qualification in ‘Understanding Scrutiny’ delivered by tpas.</w:t>
      </w:r>
    </w:p>
    <w:p w:rsidR="00211BFD" w:rsidRPr="00CE30FB" w:rsidRDefault="00211BFD" w:rsidP="00211BFD">
      <w:pPr>
        <w:pStyle w:val="PlainText"/>
        <w:numPr>
          <w:ilvl w:val="1"/>
          <w:numId w:val="1"/>
        </w:numPr>
        <w:ind w:left="567" w:hanging="567"/>
        <w:rPr>
          <w:rFonts w:ascii="Arial" w:hAnsi="Arial" w:cs="Arial"/>
          <w:sz w:val="22"/>
          <w:szCs w:val="22"/>
        </w:rPr>
      </w:pPr>
      <w:r w:rsidRPr="00CE30FB">
        <w:rPr>
          <w:rFonts w:ascii="Arial" w:hAnsi="Arial" w:cs="Arial"/>
          <w:sz w:val="22"/>
          <w:szCs w:val="22"/>
        </w:rPr>
        <w:t>Each TSP member recognises the importance of adopting a flexible attitude and approach and each displays a high level of commitment to their voluntary involvement in working with NWLDC to improve Housing</w:t>
      </w:r>
      <w:r>
        <w:rPr>
          <w:rFonts w:ascii="Arial" w:hAnsi="Arial" w:cs="Arial"/>
          <w:sz w:val="22"/>
          <w:szCs w:val="22"/>
        </w:rPr>
        <w:t xml:space="preserve"> services to tenants </w:t>
      </w:r>
      <w:r w:rsidRPr="00CE30FB">
        <w:rPr>
          <w:rFonts w:ascii="Arial" w:hAnsi="Arial" w:cs="Arial"/>
          <w:sz w:val="22"/>
          <w:szCs w:val="22"/>
        </w:rPr>
        <w:t>and streamline processes.</w:t>
      </w:r>
    </w:p>
    <w:p w:rsidR="00211BFD" w:rsidRDefault="00211BFD" w:rsidP="00211BFD">
      <w:pPr>
        <w:pStyle w:val="PlainText"/>
        <w:numPr>
          <w:ilvl w:val="1"/>
          <w:numId w:val="1"/>
        </w:numPr>
        <w:ind w:left="567" w:hanging="567"/>
        <w:rPr>
          <w:rFonts w:ascii="Arial" w:hAnsi="Arial" w:cs="Arial"/>
          <w:sz w:val="22"/>
          <w:szCs w:val="22"/>
        </w:rPr>
      </w:pPr>
      <w:r>
        <w:rPr>
          <w:rFonts w:ascii="Arial" w:hAnsi="Arial" w:cs="Arial"/>
          <w:sz w:val="22"/>
          <w:szCs w:val="22"/>
        </w:rPr>
        <w:t xml:space="preserve">The </w:t>
      </w:r>
      <w:r w:rsidRPr="00E164EF">
        <w:rPr>
          <w:rFonts w:ascii="Arial" w:hAnsi="Arial" w:cs="Arial"/>
          <w:sz w:val="22"/>
          <w:szCs w:val="22"/>
        </w:rPr>
        <w:t>TSP</w:t>
      </w:r>
      <w:r>
        <w:rPr>
          <w:rFonts w:ascii="Arial" w:hAnsi="Arial" w:cs="Arial"/>
          <w:sz w:val="22"/>
          <w:szCs w:val="22"/>
        </w:rPr>
        <w:t xml:space="preserve"> mission is </w:t>
      </w:r>
      <w:r w:rsidRPr="00E164EF">
        <w:rPr>
          <w:rFonts w:ascii="Arial" w:hAnsi="Arial" w:cs="Arial"/>
          <w:sz w:val="22"/>
          <w:szCs w:val="22"/>
        </w:rPr>
        <w:t>to be a “critical fr</w:t>
      </w:r>
      <w:r>
        <w:rPr>
          <w:rFonts w:ascii="Arial" w:hAnsi="Arial" w:cs="Arial"/>
          <w:sz w:val="22"/>
          <w:szCs w:val="22"/>
        </w:rPr>
        <w:t>iend” to the Council,</w:t>
      </w:r>
      <w:r w:rsidRPr="00E164EF">
        <w:rPr>
          <w:rFonts w:ascii="Arial" w:hAnsi="Arial" w:cs="Arial"/>
          <w:sz w:val="22"/>
          <w:szCs w:val="22"/>
        </w:rPr>
        <w:t xml:space="preserve"> facilitating service improvements for Council tenants</w:t>
      </w:r>
      <w:r>
        <w:rPr>
          <w:rFonts w:ascii="Arial" w:hAnsi="Arial" w:cs="Arial"/>
          <w:sz w:val="22"/>
          <w:szCs w:val="22"/>
        </w:rPr>
        <w:t xml:space="preserve"> whilst improving tenants’ perception of their landlord</w:t>
      </w:r>
      <w:r w:rsidRPr="00E164EF">
        <w:rPr>
          <w:rFonts w:ascii="Arial" w:hAnsi="Arial" w:cs="Arial"/>
          <w:sz w:val="22"/>
          <w:szCs w:val="22"/>
        </w:rPr>
        <w:t>.</w:t>
      </w:r>
    </w:p>
    <w:p w:rsidR="00211BFD" w:rsidRDefault="00211BFD" w:rsidP="00211BFD">
      <w:pPr>
        <w:pStyle w:val="PlainText"/>
        <w:numPr>
          <w:ilvl w:val="1"/>
          <w:numId w:val="1"/>
        </w:numPr>
        <w:ind w:left="567" w:hanging="567"/>
        <w:rPr>
          <w:rFonts w:ascii="Arial" w:hAnsi="Arial" w:cs="Arial"/>
          <w:sz w:val="22"/>
          <w:szCs w:val="22"/>
        </w:rPr>
      </w:pPr>
      <w:r>
        <w:rPr>
          <w:rFonts w:ascii="Arial" w:hAnsi="Arial" w:cs="Arial"/>
          <w:sz w:val="22"/>
          <w:szCs w:val="22"/>
        </w:rPr>
        <w:t xml:space="preserve">The </w:t>
      </w:r>
      <w:r w:rsidRPr="00E164EF">
        <w:rPr>
          <w:rFonts w:ascii="Arial" w:hAnsi="Arial" w:cs="Arial"/>
          <w:sz w:val="22"/>
          <w:szCs w:val="22"/>
        </w:rPr>
        <w:t xml:space="preserve">TSP uses differing methodologies to analyse data, </w:t>
      </w:r>
      <w:r>
        <w:rPr>
          <w:rFonts w:ascii="Arial" w:hAnsi="Arial" w:cs="Arial"/>
          <w:sz w:val="22"/>
          <w:szCs w:val="22"/>
        </w:rPr>
        <w:t>collect</w:t>
      </w:r>
      <w:r w:rsidRPr="00E164EF">
        <w:rPr>
          <w:rFonts w:ascii="Arial" w:hAnsi="Arial" w:cs="Arial"/>
          <w:sz w:val="22"/>
          <w:szCs w:val="22"/>
        </w:rPr>
        <w:t xml:space="preserve"> evidence, report on outcomes and make recommendations to NWLDC to enable changes and improvements to be implemented.</w:t>
      </w:r>
    </w:p>
    <w:p w:rsidR="00211BFD" w:rsidRPr="003169C9" w:rsidRDefault="00211BFD" w:rsidP="00211BFD">
      <w:pPr>
        <w:pStyle w:val="PlainText"/>
        <w:rPr>
          <w:rFonts w:ascii="Arial" w:hAnsi="Arial" w:cs="Arial"/>
          <w:sz w:val="22"/>
          <w:szCs w:val="22"/>
        </w:rPr>
      </w:pPr>
    </w:p>
    <w:p w:rsidR="00211BFD" w:rsidRPr="00066A25" w:rsidRDefault="00211BFD" w:rsidP="00211BFD">
      <w:pPr>
        <w:pStyle w:val="PlainText"/>
        <w:numPr>
          <w:ilvl w:val="0"/>
          <w:numId w:val="1"/>
        </w:numPr>
        <w:ind w:left="426" w:hanging="426"/>
        <w:rPr>
          <w:rFonts w:ascii="Calibri" w:hAnsi="Calibri" w:cs="Arial"/>
          <w:sz w:val="32"/>
          <w:szCs w:val="32"/>
        </w:rPr>
      </w:pPr>
      <w:r w:rsidRPr="00066A25">
        <w:rPr>
          <w:rFonts w:ascii="Calibri" w:hAnsi="Calibri" w:cs="Arial"/>
          <w:b/>
          <w:bCs/>
          <w:sz w:val="32"/>
          <w:szCs w:val="32"/>
        </w:rPr>
        <w:t>Vision and Strategy:</w:t>
      </w:r>
    </w:p>
    <w:p w:rsidR="00211BFD" w:rsidRPr="003169C9" w:rsidRDefault="00211BFD" w:rsidP="00211BFD">
      <w:pPr>
        <w:pStyle w:val="PlainText"/>
        <w:rPr>
          <w:rFonts w:ascii="Arial" w:hAnsi="Arial" w:cs="Arial"/>
          <w:sz w:val="22"/>
          <w:szCs w:val="22"/>
        </w:rPr>
      </w:pPr>
    </w:p>
    <w:p w:rsidR="00211BFD" w:rsidRDefault="00211BFD" w:rsidP="00211BFD">
      <w:pPr>
        <w:pStyle w:val="PlainText"/>
        <w:ind w:left="426"/>
        <w:rPr>
          <w:rFonts w:ascii="Arial" w:hAnsi="Arial" w:cs="Arial"/>
          <w:sz w:val="22"/>
          <w:szCs w:val="22"/>
        </w:rPr>
      </w:pPr>
      <w:r>
        <w:rPr>
          <w:rFonts w:ascii="Arial" w:hAnsi="Arial" w:cs="Arial"/>
          <w:sz w:val="22"/>
          <w:szCs w:val="22"/>
        </w:rPr>
        <w:t>The vision of the TSP is to increase its knowledge of NWLDC’s ways of working, and policies and procedures in order to be able to strengthen the group’s knowledge and improve its offer to tenants and NWLDC alike and to play a strategic part in the way services are delivered and improved in the future.</w:t>
      </w:r>
    </w:p>
    <w:p w:rsidR="00211BFD" w:rsidRPr="00942939" w:rsidRDefault="00211BFD" w:rsidP="00211BFD">
      <w:pPr>
        <w:pStyle w:val="PlainText"/>
        <w:ind w:left="709"/>
        <w:rPr>
          <w:rFonts w:ascii="Arial" w:hAnsi="Arial" w:cs="Arial"/>
          <w:sz w:val="22"/>
          <w:szCs w:val="22"/>
        </w:rPr>
      </w:pPr>
    </w:p>
    <w:p w:rsidR="00211BFD" w:rsidRPr="00066A25" w:rsidRDefault="00211BFD" w:rsidP="00211BFD">
      <w:pPr>
        <w:pStyle w:val="PlainText"/>
        <w:numPr>
          <w:ilvl w:val="0"/>
          <w:numId w:val="1"/>
        </w:numPr>
        <w:ind w:left="426" w:hanging="426"/>
        <w:rPr>
          <w:rFonts w:ascii="Calibri" w:hAnsi="Calibri" w:cs="Arial"/>
          <w:sz w:val="22"/>
          <w:szCs w:val="22"/>
        </w:rPr>
      </w:pPr>
      <w:r w:rsidRPr="00066A25">
        <w:rPr>
          <w:rFonts w:ascii="Calibri" w:hAnsi="Calibri" w:cs="Arial"/>
          <w:b/>
          <w:sz w:val="32"/>
          <w:szCs w:val="32"/>
        </w:rPr>
        <w:t>Report</w:t>
      </w:r>
    </w:p>
    <w:p w:rsidR="00211BFD" w:rsidRDefault="00211BFD" w:rsidP="00211BFD">
      <w:pPr>
        <w:pStyle w:val="PlainText"/>
        <w:ind w:left="426"/>
        <w:rPr>
          <w:rFonts w:ascii="Arial" w:hAnsi="Arial" w:cs="Arial"/>
          <w:sz w:val="22"/>
          <w:szCs w:val="22"/>
        </w:rPr>
      </w:pPr>
    </w:p>
    <w:p w:rsidR="00211BFD" w:rsidRDefault="00211BFD" w:rsidP="00211BFD">
      <w:pPr>
        <w:pStyle w:val="PlainText"/>
        <w:ind w:left="426"/>
        <w:rPr>
          <w:rFonts w:ascii="Arial" w:hAnsi="Arial" w:cs="Arial"/>
          <w:sz w:val="22"/>
          <w:szCs w:val="22"/>
        </w:rPr>
      </w:pPr>
      <w:r w:rsidRPr="00DE750C">
        <w:rPr>
          <w:rFonts w:ascii="Arial" w:hAnsi="Arial" w:cs="Arial"/>
          <w:sz w:val="22"/>
          <w:szCs w:val="22"/>
        </w:rPr>
        <w:t>The TSP has reported on its findings as factually as possible and without any bias</w:t>
      </w:r>
      <w:r>
        <w:rPr>
          <w:rFonts w:ascii="Arial" w:hAnsi="Arial" w:cs="Arial"/>
          <w:sz w:val="22"/>
          <w:szCs w:val="22"/>
        </w:rPr>
        <w:t>. O</w:t>
      </w:r>
      <w:r w:rsidRPr="00DE750C">
        <w:rPr>
          <w:rFonts w:ascii="Arial" w:hAnsi="Arial" w:cs="Arial"/>
          <w:sz w:val="22"/>
          <w:szCs w:val="22"/>
        </w:rPr>
        <w:t>ur inspection has, on occasion</w:t>
      </w:r>
      <w:r>
        <w:rPr>
          <w:rFonts w:ascii="Arial" w:hAnsi="Arial" w:cs="Arial"/>
          <w:sz w:val="22"/>
          <w:szCs w:val="22"/>
        </w:rPr>
        <w:t xml:space="preserve">, increased awareness of the complexity of the work done by NWLDC and other agencies.  However </w:t>
      </w:r>
      <w:r w:rsidRPr="00DE750C">
        <w:rPr>
          <w:rFonts w:ascii="Arial" w:hAnsi="Arial" w:cs="Arial"/>
          <w:sz w:val="22"/>
          <w:szCs w:val="22"/>
        </w:rPr>
        <w:t xml:space="preserve">our findings and subsequent recommendations </w:t>
      </w:r>
      <w:r w:rsidRPr="00DE750C">
        <w:rPr>
          <w:rFonts w:ascii="Arial" w:hAnsi="Arial" w:cs="Arial"/>
          <w:sz w:val="22"/>
          <w:szCs w:val="22"/>
        </w:rPr>
        <w:lastRenderedPageBreak/>
        <w:t>have</w:t>
      </w:r>
      <w:r>
        <w:rPr>
          <w:rFonts w:ascii="Arial" w:hAnsi="Arial" w:cs="Arial"/>
          <w:sz w:val="22"/>
          <w:szCs w:val="22"/>
        </w:rPr>
        <w:t xml:space="preserve"> led us to be critical of certain parts of the process of reporting/investigating complaints in line with the policies and procedures in place.</w:t>
      </w:r>
    </w:p>
    <w:p w:rsidR="00211BFD" w:rsidRDefault="00211BFD" w:rsidP="00211BFD">
      <w:pPr>
        <w:pStyle w:val="PlainText"/>
        <w:rPr>
          <w:rFonts w:ascii="Arial" w:hAnsi="Arial" w:cs="Arial"/>
          <w:sz w:val="22"/>
          <w:szCs w:val="22"/>
        </w:rPr>
      </w:pPr>
    </w:p>
    <w:p w:rsidR="00211BFD" w:rsidRDefault="00211BFD" w:rsidP="00211BFD">
      <w:pPr>
        <w:pStyle w:val="PlainText"/>
        <w:rPr>
          <w:rFonts w:ascii="Arial" w:hAnsi="Arial" w:cs="Arial"/>
          <w:sz w:val="22"/>
          <w:szCs w:val="22"/>
        </w:rPr>
      </w:pPr>
    </w:p>
    <w:p w:rsidR="00211BFD" w:rsidRPr="00066A25" w:rsidRDefault="00211BFD" w:rsidP="00211BFD">
      <w:pPr>
        <w:pStyle w:val="PlainText"/>
        <w:numPr>
          <w:ilvl w:val="0"/>
          <w:numId w:val="1"/>
        </w:numPr>
        <w:ind w:left="426" w:hanging="426"/>
        <w:rPr>
          <w:rFonts w:ascii="Calibri" w:hAnsi="Calibri" w:cs="Arial"/>
          <w:b/>
          <w:sz w:val="32"/>
          <w:szCs w:val="32"/>
        </w:rPr>
      </w:pPr>
      <w:r w:rsidRPr="00066A25">
        <w:rPr>
          <w:rFonts w:ascii="Calibri" w:hAnsi="Calibri" w:cs="Arial"/>
          <w:b/>
          <w:sz w:val="32"/>
          <w:szCs w:val="32"/>
        </w:rPr>
        <w:t>Methodology</w:t>
      </w:r>
    </w:p>
    <w:p w:rsidR="00211BFD" w:rsidRPr="003169C9" w:rsidRDefault="00211BFD" w:rsidP="00211BFD">
      <w:pPr>
        <w:pStyle w:val="PlainText"/>
        <w:rPr>
          <w:rFonts w:ascii="Arial" w:hAnsi="Arial" w:cs="Arial"/>
          <w:b/>
          <w:sz w:val="22"/>
          <w:szCs w:val="22"/>
        </w:rPr>
      </w:pPr>
    </w:p>
    <w:p w:rsidR="00211BFD" w:rsidRDefault="00211BFD" w:rsidP="00211BFD">
      <w:pPr>
        <w:pStyle w:val="PlainText"/>
        <w:numPr>
          <w:ilvl w:val="0"/>
          <w:numId w:val="4"/>
        </w:numPr>
        <w:rPr>
          <w:rFonts w:ascii="Arial" w:hAnsi="Arial" w:cs="Arial"/>
          <w:sz w:val="22"/>
          <w:szCs w:val="22"/>
        </w:rPr>
      </w:pPr>
      <w:r>
        <w:rPr>
          <w:rFonts w:ascii="Arial" w:hAnsi="Arial" w:cs="Arial"/>
          <w:sz w:val="22"/>
          <w:szCs w:val="22"/>
        </w:rPr>
        <w:t>Training with Rob Webb to look at Complaints Policy &amp; Procedures</w:t>
      </w:r>
    </w:p>
    <w:p w:rsidR="00211BFD" w:rsidRDefault="00211BFD" w:rsidP="00211BFD">
      <w:pPr>
        <w:pStyle w:val="PlainText"/>
        <w:numPr>
          <w:ilvl w:val="0"/>
          <w:numId w:val="4"/>
        </w:numPr>
        <w:rPr>
          <w:rFonts w:ascii="Arial" w:hAnsi="Arial" w:cs="Arial"/>
          <w:sz w:val="22"/>
          <w:szCs w:val="22"/>
        </w:rPr>
      </w:pPr>
      <w:r>
        <w:rPr>
          <w:rFonts w:ascii="Arial" w:hAnsi="Arial" w:cs="Arial"/>
          <w:sz w:val="22"/>
          <w:szCs w:val="22"/>
        </w:rPr>
        <w:t>Desktop Review of relevant documents</w:t>
      </w:r>
    </w:p>
    <w:p w:rsidR="00211BFD" w:rsidRDefault="00211BFD" w:rsidP="00211BFD">
      <w:pPr>
        <w:pStyle w:val="PlainText"/>
        <w:numPr>
          <w:ilvl w:val="0"/>
          <w:numId w:val="4"/>
        </w:numPr>
        <w:rPr>
          <w:rFonts w:ascii="Arial" w:hAnsi="Arial" w:cs="Arial"/>
          <w:sz w:val="22"/>
          <w:szCs w:val="22"/>
        </w:rPr>
      </w:pPr>
      <w:r>
        <w:rPr>
          <w:rFonts w:ascii="Arial" w:hAnsi="Arial" w:cs="Arial"/>
          <w:sz w:val="22"/>
          <w:szCs w:val="22"/>
        </w:rPr>
        <w:t>Meeting with Andrew Hickling (Records Management Officer – Business Improvement Team) to get a corporate view of complaints.</w:t>
      </w:r>
    </w:p>
    <w:p w:rsidR="00211BFD" w:rsidRDefault="00211BFD" w:rsidP="00211BFD">
      <w:pPr>
        <w:pStyle w:val="PlainText"/>
        <w:numPr>
          <w:ilvl w:val="0"/>
          <w:numId w:val="4"/>
        </w:numPr>
        <w:rPr>
          <w:rFonts w:ascii="Arial" w:hAnsi="Arial" w:cs="Arial"/>
          <w:sz w:val="22"/>
          <w:szCs w:val="22"/>
        </w:rPr>
      </w:pPr>
      <w:r>
        <w:rPr>
          <w:rFonts w:ascii="Arial" w:hAnsi="Arial" w:cs="Arial"/>
          <w:sz w:val="22"/>
          <w:szCs w:val="22"/>
        </w:rPr>
        <w:t>Meeting with Rommel Villarico (Business Support Team leader) to discuss data and recording of complaints</w:t>
      </w:r>
    </w:p>
    <w:p w:rsidR="00211BFD" w:rsidRDefault="00211BFD" w:rsidP="00211BFD">
      <w:pPr>
        <w:pStyle w:val="PlainText"/>
        <w:numPr>
          <w:ilvl w:val="0"/>
          <w:numId w:val="4"/>
        </w:numPr>
        <w:rPr>
          <w:rFonts w:ascii="Arial" w:hAnsi="Arial" w:cs="Arial"/>
          <w:sz w:val="22"/>
          <w:szCs w:val="22"/>
        </w:rPr>
      </w:pPr>
      <w:r>
        <w:rPr>
          <w:rFonts w:ascii="Arial" w:hAnsi="Arial" w:cs="Arial"/>
          <w:sz w:val="22"/>
          <w:szCs w:val="22"/>
        </w:rPr>
        <w:t xml:space="preserve">Joanne Day (Support Services Team Leader) attended the May TSP meeting to give feedback on the handling of complaints and the problems faced by those who record and monitor them, with an emphasis on the Asset Management Team (AMT). </w:t>
      </w:r>
    </w:p>
    <w:p w:rsidR="00211BFD" w:rsidRDefault="00211BFD" w:rsidP="00211BFD">
      <w:pPr>
        <w:pStyle w:val="PlainText"/>
        <w:numPr>
          <w:ilvl w:val="0"/>
          <w:numId w:val="4"/>
        </w:numPr>
        <w:rPr>
          <w:rFonts w:ascii="Arial" w:hAnsi="Arial" w:cs="Arial"/>
          <w:sz w:val="22"/>
          <w:szCs w:val="22"/>
        </w:rPr>
      </w:pPr>
      <w:r w:rsidRPr="00CE30FB">
        <w:rPr>
          <w:rFonts w:ascii="Arial" w:hAnsi="Arial" w:cs="Arial"/>
          <w:sz w:val="22"/>
          <w:szCs w:val="22"/>
        </w:rPr>
        <w:t>Meeting with Chris Lambert</w:t>
      </w:r>
      <w:r>
        <w:rPr>
          <w:rFonts w:ascii="Arial" w:hAnsi="Arial" w:cs="Arial"/>
          <w:sz w:val="22"/>
          <w:szCs w:val="22"/>
        </w:rPr>
        <w:t xml:space="preserve"> (Head of Housing) to identify why the bulk of outstanding complaints were with the Asset Management Team (AMT) and what actions were being taken to resolve the situation.</w:t>
      </w:r>
    </w:p>
    <w:p w:rsidR="00211BFD" w:rsidRPr="00DA5B51" w:rsidRDefault="00211BFD" w:rsidP="00211BFD">
      <w:pPr>
        <w:rPr>
          <w:rFonts w:cs="Arial"/>
          <w:sz w:val="22"/>
          <w:szCs w:val="22"/>
        </w:rPr>
      </w:pPr>
    </w:p>
    <w:p w:rsidR="00211BFD" w:rsidRPr="00066A25" w:rsidRDefault="00211BFD" w:rsidP="00211BFD">
      <w:pPr>
        <w:pStyle w:val="PlainText"/>
        <w:numPr>
          <w:ilvl w:val="0"/>
          <w:numId w:val="1"/>
        </w:numPr>
        <w:ind w:left="426" w:hanging="426"/>
        <w:rPr>
          <w:rFonts w:ascii="Calibri" w:hAnsi="Calibri" w:cs="Arial"/>
          <w:b/>
          <w:sz w:val="32"/>
          <w:szCs w:val="32"/>
        </w:rPr>
      </w:pPr>
      <w:r w:rsidRPr="00066A25">
        <w:rPr>
          <w:rFonts w:ascii="Calibri" w:hAnsi="Calibri" w:cs="Arial"/>
          <w:b/>
          <w:sz w:val="32"/>
          <w:szCs w:val="32"/>
        </w:rPr>
        <w:t>Aim of the Exercise</w:t>
      </w:r>
    </w:p>
    <w:p w:rsidR="00211BFD" w:rsidRDefault="00211BFD" w:rsidP="00211BFD">
      <w:pPr>
        <w:pStyle w:val="PlainText"/>
        <w:rPr>
          <w:rFonts w:ascii="Arial" w:hAnsi="Arial" w:cs="Arial"/>
          <w:sz w:val="22"/>
          <w:szCs w:val="22"/>
        </w:rPr>
      </w:pPr>
    </w:p>
    <w:p w:rsidR="00211BFD" w:rsidRDefault="00211BFD" w:rsidP="00211BFD">
      <w:pPr>
        <w:pStyle w:val="PlainText"/>
        <w:rPr>
          <w:rFonts w:ascii="Arial" w:hAnsi="Arial" w:cs="Arial"/>
          <w:sz w:val="22"/>
          <w:szCs w:val="22"/>
        </w:rPr>
      </w:pPr>
      <w:r w:rsidRPr="00096212">
        <w:rPr>
          <w:rFonts w:ascii="Arial" w:hAnsi="Arial" w:cs="Arial"/>
          <w:sz w:val="22"/>
          <w:szCs w:val="22"/>
        </w:rPr>
        <w:t>To investigate why customers were reporting low satisfaction levels</w:t>
      </w:r>
      <w:r>
        <w:rPr>
          <w:rFonts w:ascii="Arial" w:hAnsi="Arial" w:cs="Arial"/>
          <w:sz w:val="22"/>
          <w:szCs w:val="22"/>
        </w:rPr>
        <w:t xml:space="preserve"> in respect of c</w:t>
      </w:r>
      <w:r w:rsidRPr="00096212">
        <w:rPr>
          <w:rFonts w:ascii="Arial" w:hAnsi="Arial" w:cs="Arial"/>
          <w:sz w:val="22"/>
          <w:szCs w:val="22"/>
        </w:rPr>
        <w:t>omplaint</w:t>
      </w:r>
      <w:r>
        <w:rPr>
          <w:rFonts w:ascii="Arial" w:hAnsi="Arial" w:cs="Arial"/>
          <w:sz w:val="22"/>
          <w:szCs w:val="22"/>
        </w:rPr>
        <w:t>s handling and suggest</w:t>
      </w:r>
      <w:r w:rsidRPr="00096212">
        <w:rPr>
          <w:rFonts w:ascii="Arial" w:hAnsi="Arial" w:cs="Arial"/>
          <w:sz w:val="22"/>
          <w:szCs w:val="22"/>
        </w:rPr>
        <w:t xml:space="preserve"> recommendations to improve how NWLDC deal with this aspect of their services to tenants.</w:t>
      </w:r>
    </w:p>
    <w:p w:rsidR="00211BFD" w:rsidRDefault="00211BFD" w:rsidP="00211BFD">
      <w:pPr>
        <w:pStyle w:val="PlainText"/>
        <w:rPr>
          <w:rFonts w:ascii="Arial" w:hAnsi="Arial" w:cs="Arial"/>
          <w:sz w:val="22"/>
          <w:szCs w:val="22"/>
        </w:rPr>
      </w:pPr>
    </w:p>
    <w:p w:rsidR="00211BFD" w:rsidRPr="00066A25" w:rsidRDefault="00211BFD" w:rsidP="00211BFD">
      <w:pPr>
        <w:pStyle w:val="PlainText"/>
        <w:numPr>
          <w:ilvl w:val="0"/>
          <w:numId w:val="1"/>
        </w:numPr>
        <w:rPr>
          <w:rFonts w:ascii="Calibri" w:hAnsi="Calibri" w:cs="Arial"/>
          <w:b/>
          <w:sz w:val="32"/>
          <w:szCs w:val="32"/>
        </w:rPr>
      </w:pPr>
      <w:r w:rsidRPr="00066A25">
        <w:rPr>
          <w:rFonts w:ascii="Calibri" w:hAnsi="Calibri" w:cs="Arial"/>
          <w:b/>
          <w:sz w:val="32"/>
          <w:szCs w:val="32"/>
        </w:rPr>
        <w:t>Findings</w:t>
      </w:r>
    </w:p>
    <w:p w:rsidR="00211BFD" w:rsidRDefault="00211BFD" w:rsidP="00211BFD">
      <w:pPr>
        <w:pStyle w:val="PlainText"/>
        <w:rPr>
          <w:rFonts w:ascii="Arial" w:hAnsi="Arial" w:cs="Arial"/>
          <w:b/>
          <w:sz w:val="28"/>
          <w:szCs w:val="28"/>
        </w:rPr>
      </w:pPr>
    </w:p>
    <w:p w:rsidR="00211BFD" w:rsidRDefault="00211BFD" w:rsidP="00211BFD">
      <w:pPr>
        <w:pStyle w:val="PlainText"/>
        <w:numPr>
          <w:ilvl w:val="1"/>
          <w:numId w:val="1"/>
        </w:numPr>
        <w:rPr>
          <w:rFonts w:ascii="Arial" w:hAnsi="Arial" w:cs="Arial"/>
          <w:sz w:val="22"/>
          <w:szCs w:val="22"/>
        </w:rPr>
      </w:pPr>
      <w:r w:rsidRPr="00096212">
        <w:rPr>
          <w:rFonts w:ascii="Arial" w:hAnsi="Arial" w:cs="Arial"/>
          <w:sz w:val="22"/>
          <w:szCs w:val="22"/>
        </w:rPr>
        <w:t xml:space="preserve">As expected, the </w:t>
      </w:r>
      <w:r>
        <w:rPr>
          <w:rFonts w:ascii="Arial" w:hAnsi="Arial" w:cs="Arial"/>
          <w:sz w:val="22"/>
          <w:szCs w:val="22"/>
        </w:rPr>
        <w:t>highest number of complaints were received by the AMT and the majority aro</w:t>
      </w:r>
      <w:r w:rsidRPr="00096212">
        <w:rPr>
          <w:rFonts w:ascii="Arial" w:hAnsi="Arial" w:cs="Arial"/>
          <w:sz w:val="22"/>
          <w:szCs w:val="22"/>
        </w:rPr>
        <w:t>se from tenants advising of required repairs where the service</w:t>
      </w:r>
      <w:r>
        <w:rPr>
          <w:rFonts w:ascii="Arial" w:hAnsi="Arial" w:cs="Arial"/>
          <w:sz w:val="22"/>
          <w:szCs w:val="22"/>
        </w:rPr>
        <w:t xml:space="preserve"> subsequently provided</w:t>
      </w:r>
      <w:r w:rsidRPr="00096212">
        <w:rPr>
          <w:rFonts w:ascii="Arial" w:hAnsi="Arial" w:cs="Arial"/>
          <w:sz w:val="22"/>
          <w:szCs w:val="22"/>
        </w:rPr>
        <w:t xml:space="preserve"> has not met their expectations.</w:t>
      </w:r>
    </w:p>
    <w:p w:rsidR="00211BFD" w:rsidRPr="00096212" w:rsidRDefault="00211BFD" w:rsidP="00211BFD">
      <w:pPr>
        <w:pStyle w:val="PlainText"/>
        <w:numPr>
          <w:ilvl w:val="1"/>
          <w:numId w:val="1"/>
        </w:numPr>
        <w:rPr>
          <w:rFonts w:ascii="Arial" w:hAnsi="Arial" w:cs="Arial"/>
          <w:sz w:val="22"/>
          <w:szCs w:val="22"/>
        </w:rPr>
      </w:pPr>
      <w:r>
        <w:rPr>
          <w:rFonts w:ascii="Arial" w:hAnsi="Arial" w:cs="Arial"/>
          <w:sz w:val="22"/>
          <w:szCs w:val="22"/>
        </w:rPr>
        <w:t>When there was a lack of AMT resources dedicated to processing repairs responses to complaints the backlog of outstanding complaints was high.  Evidence suggests that historically there was consistently insufficient emphasis and resources put into resolving this problem.</w:t>
      </w:r>
    </w:p>
    <w:p w:rsidR="00211BFD" w:rsidRPr="00E8508B" w:rsidRDefault="00211BFD" w:rsidP="00211BFD">
      <w:pPr>
        <w:pStyle w:val="PlainText"/>
        <w:numPr>
          <w:ilvl w:val="1"/>
          <w:numId w:val="1"/>
        </w:numPr>
        <w:rPr>
          <w:rFonts w:ascii="Arial" w:hAnsi="Arial" w:cs="Arial"/>
          <w:b/>
          <w:sz w:val="22"/>
          <w:szCs w:val="22"/>
        </w:rPr>
      </w:pPr>
      <w:r>
        <w:rPr>
          <w:rFonts w:ascii="Arial" w:hAnsi="Arial" w:cs="Arial"/>
          <w:sz w:val="22"/>
          <w:szCs w:val="22"/>
        </w:rPr>
        <w:t>There was dramatic</w:t>
      </w:r>
      <w:r w:rsidRPr="00E8508B">
        <w:rPr>
          <w:rFonts w:ascii="Arial" w:hAnsi="Arial" w:cs="Arial"/>
          <w:sz w:val="22"/>
          <w:szCs w:val="22"/>
        </w:rPr>
        <w:t xml:space="preserve"> improvement </w:t>
      </w:r>
      <w:r>
        <w:rPr>
          <w:rFonts w:ascii="Arial" w:hAnsi="Arial" w:cs="Arial"/>
          <w:sz w:val="22"/>
          <w:szCs w:val="22"/>
        </w:rPr>
        <w:t>during several</w:t>
      </w:r>
      <w:r w:rsidRPr="00E8508B">
        <w:rPr>
          <w:rFonts w:ascii="Arial" w:hAnsi="Arial" w:cs="Arial"/>
          <w:sz w:val="22"/>
          <w:szCs w:val="22"/>
        </w:rPr>
        <w:t xml:space="preserve"> </w:t>
      </w:r>
      <w:r>
        <w:rPr>
          <w:rFonts w:ascii="Arial" w:hAnsi="Arial" w:cs="Arial"/>
          <w:sz w:val="22"/>
          <w:szCs w:val="22"/>
        </w:rPr>
        <w:t>months of 2016 when an officer</w:t>
      </w:r>
      <w:r w:rsidRPr="00E8508B">
        <w:rPr>
          <w:rFonts w:ascii="Arial" w:hAnsi="Arial" w:cs="Arial"/>
          <w:sz w:val="22"/>
          <w:szCs w:val="22"/>
        </w:rPr>
        <w:t xml:space="preserve"> </w:t>
      </w:r>
      <w:r>
        <w:rPr>
          <w:rFonts w:ascii="Arial" w:hAnsi="Arial" w:cs="Arial"/>
          <w:sz w:val="22"/>
          <w:szCs w:val="22"/>
        </w:rPr>
        <w:t xml:space="preserve">was asked to concentrate </w:t>
      </w:r>
      <w:r w:rsidRPr="00E8508B">
        <w:rPr>
          <w:rFonts w:ascii="Arial" w:hAnsi="Arial" w:cs="Arial"/>
          <w:sz w:val="22"/>
          <w:szCs w:val="22"/>
        </w:rPr>
        <w:t xml:space="preserve">on reducing the huge backlog </w:t>
      </w:r>
      <w:r>
        <w:rPr>
          <w:rFonts w:ascii="Arial" w:hAnsi="Arial" w:cs="Arial"/>
          <w:sz w:val="22"/>
          <w:szCs w:val="22"/>
        </w:rPr>
        <w:t xml:space="preserve">of outstanding complaints </w:t>
      </w:r>
      <w:r w:rsidRPr="00E8508B">
        <w:rPr>
          <w:rFonts w:ascii="Arial" w:hAnsi="Arial" w:cs="Arial"/>
          <w:sz w:val="22"/>
          <w:szCs w:val="22"/>
        </w:rPr>
        <w:t xml:space="preserve">that had accumulated; this action brought the backlog down to an </w:t>
      </w:r>
      <w:r>
        <w:rPr>
          <w:rFonts w:ascii="Arial" w:hAnsi="Arial" w:cs="Arial"/>
          <w:sz w:val="22"/>
          <w:szCs w:val="22"/>
        </w:rPr>
        <w:t>acceptable level.  However the officer then</w:t>
      </w:r>
      <w:r w:rsidRPr="00E8508B">
        <w:rPr>
          <w:rFonts w:ascii="Arial" w:hAnsi="Arial" w:cs="Arial"/>
          <w:sz w:val="22"/>
          <w:szCs w:val="22"/>
        </w:rPr>
        <w:t xml:space="preserve"> left NWLDC and with the loss of this resource the backlog</w:t>
      </w:r>
      <w:r>
        <w:rPr>
          <w:rFonts w:ascii="Arial" w:hAnsi="Arial" w:cs="Arial"/>
          <w:sz w:val="22"/>
          <w:szCs w:val="22"/>
        </w:rPr>
        <w:t xml:space="preserve"> of outstanding complaints</w:t>
      </w:r>
      <w:r w:rsidRPr="00E8508B">
        <w:rPr>
          <w:rFonts w:ascii="Arial" w:hAnsi="Arial" w:cs="Arial"/>
          <w:sz w:val="22"/>
          <w:szCs w:val="22"/>
        </w:rPr>
        <w:t xml:space="preserve"> rose quickly to exceed the original level.</w:t>
      </w:r>
      <w:r>
        <w:rPr>
          <w:rFonts w:ascii="Arial" w:hAnsi="Arial" w:cs="Arial"/>
          <w:sz w:val="22"/>
          <w:szCs w:val="22"/>
        </w:rPr>
        <w:t xml:space="preserve"> (see appendix 4)</w:t>
      </w:r>
    </w:p>
    <w:p w:rsidR="00211BFD" w:rsidRPr="00F51FA0" w:rsidRDefault="00211BFD" w:rsidP="00211BFD">
      <w:pPr>
        <w:pStyle w:val="PlainText"/>
        <w:numPr>
          <w:ilvl w:val="1"/>
          <w:numId w:val="1"/>
        </w:numPr>
        <w:rPr>
          <w:rFonts w:ascii="Arial" w:hAnsi="Arial" w:cs="Arial"/>
          <w:b/>
          <w:sz w:val="22"/>
          <w:szCs w:val="22"/>
        </w:rPr>
      </w:pPr>
      <w:r>
        <w:rPr>
          <w:rFonts w:ascii="Arial" w:hAnsi="Arial" w:cs="Arial"/>
          <w:sz w:val="22"/>
          <w:szCs w:val="22"/>
        </w:rPr>
        <w:t xml:space="preserve">From reviewing relevant data from 2014/15 onwards </w:t>
      </w:r>
      <w:r w:rsidRPr="00096212">
        <w:rPr>
          <w:rFonts w:ascii="Arial" w:hAnsi="Arial" w:cs="Arial"/>
          <w:sz w:val="22"/>
          <w:szCs w:val="22"/>
        </w:rPr>
        <w:t xml:space="preserve">tenant complaints appear not to have </w:t>
      </w:r>
      <w:r>
        <w:rPr>
          <w:rFonts w:ascii="Arial" w:hAnsi="Arial" w:cs="Arial"/>
          <w:sz w:val="22"/>
          <w:szCs w:val="22"/>
        </w:rPr>
        <w:t xml:space="preserve">always </w:t>
      </w:r>
      <w:r w:rsidRPr="00096212">
        <w:rPr>
          <w:rFonts w:ascii="Arial" w:hAnsi="Arial" w:cs="Arial"/>
          <w:sz w:val="22"/>
          <w:szCs w:val="22"/>
        </w:rPr>
        <w:t xml:space="preserve">been responded to </w:t>
      </w:r>
      <w:r>
        <w:rPr>
          <w:rFonts w:ascii="Arial" w:hAnsi="Arial" w:cs="Arial"/>
          <w:sz w:val="22"/>
          <w:szCs w:val="22"/>
        </w:rPr>
        <w:t>within the timescales outlined in the complaints policy. This</w:t>
      </w:r>
      <w:r w:rsidRPr="00096212">
        <w:rPr>
          <w:rFonts w:ascii="Arial" w:hAnsi="Arial" w:cs="Arial"/>
          <w:sz w:val="22"/>
          <w:szCs w:val="22"/>
        </w:rPr>
        <w:t xml:space="preserve"> r</w:t>
      </w:r>
      <w:r>
        <w:rPr>
          <w:rFonts w:ascii="Arial" w:hAnsi="Arial" w:cs="Arial"/>
          <w:sz w:val="22"/>
          <w:szCs w:val="22"/>
        </w:rPr>
        <w:t>esulted in a number</w:t>
      </w:r>
      <w:r w:rsidRPr="00096212">
        <w:rPr>
          <w:rFonts w:ascii="Arial" w:hAnsi="Arial" w:cs="Arial"/>
          <w:sz w:val="22"/>
          <w:szCs w:val="22"/>
        </w:rPr>
        <w:t xml:space="preserve"> of Stage 1 </w:t>
      </w:r>
      <w:r>
        <w:rPr>
          <w:rFonts w:ascii="Arial" w:hAnsi="Arial" w:cs="Arial"/>
          <w:sz w:val="22"/>
          <w:szCs w:val="22"/>
        </w:rPr>
        <w:t xml:space="preserve">complaints </w:t>
      </w:r>
      <w:r w:rsidRPr="00096212">
        <w:rPr>
          <w:rFonts w:ascii="Arial" w:hAnsi="Arial" w:cs="Arial"/>
          <w:sz w:val="22"/>
          <w:szCs w:val="22"/>
        </w:rPr>
        <w:t>progressing to Stage 2</w:t>
      </w:r>
      <w:r>
        <w:rPr>
          <w:rFonts w:ascii="Arial" w:hAnsi="Arial" w:cs="Arial"/>
          <w:sz w:val="22"/>
          <w:szCs w:val="22"/>
        </w:rPr>
        <w:t xml:space="preserve"> simply because of a lack of communication about what was happening with regard to tenants’ particular issues. (see appendix 4E)</w:t>
      </w:r>
      <w:r w:rsidRPr="00F51FA0">
        <w:rPr>
          <w:rFonts w:ascii="Arial" w:hAnsi="Arial" w:cs="Arial"/>
          <w:sz w:val="22"/>
          <w:szCs w:val="22"/>
        </w:rPr>
        <w:t xml:space="preserve">  </w:t>
      </w:r>
    </w:p>
    <w:p w:rsidR="00211BFD" w:rsidRPr="00096212" w:rsidRDefault="00211BFD" w:rsidP="00211BFD">
      <w:pPr>
        <w:pStyle w:val="PlainText"/>
        <w:numPr>
          <w:ilvl w:val="0"/>
          <w:numId w:val="6"/>
        </w:numPr>
        <w:rPr>
          <w:rFonts w:ascii="Arial" w:hAnsi="Arial" w:cs="Arial"/>
          <w:sz w:val="22"/>
          <w:szCs w:val="22"/>
        </w:rPr>
      </w:pPr>
      <w:r w:rsidRPr="00096212">
        <w:rPr>
          <w:rFonts w:ascii="Arial" w:hAnsi="Arial" w:cs="Arial"/>
          <w:sz w:val="22"/>
          <w:szCs w:val="22"/>
        </w:rPr>
        <w:t xml:space="preserve">It is interesting to note that 72 </w:t>
      </w:r>
      <w:r>
        <w:rPr>
          <w:rFonts w:ascii="Arial" w:hAnsi="Arial" w:cs="Arial"/>
          <w:sz w:val="22"/>
          <w:szCs w:val="22"/>
        </w:rPr>
        <w:t xml:space="preserve">compensation </w:t>
      </w:r>
      <w:r w:rsidRPr="00096212">
        <w:rPr>
          <w:rFonts w:ascii="Arial" w:hAnsi="Arial" w:cs="Arial"/>
          <w:sz w:val="22"/>
          <w:szCs w:val="22"/>
        </w:rPr>
        <w:t>claims were received in 2014/15</w:t>
      </w:r>
      <w:r>
        <w:rPr>
          <w:rFonts w:ascii="Arial" w:hAnsi="Arial" w:cs="Arial"/>
          <w:sz w:val="22"/>
          <w:szCs w:val="22"/>
        </w:rPr>
        <w:t xml:space="preserve"> with 2015/16 showed a significant reduction in that number at 21.</w:t>
      </w:r>
    </w:p>
    <w:p w:rsidR="00211BFD" w:rsidRPr="00096212" w:rsidRDefault="00211BFD" w:rsidP="00211BFD">
      <w:pPr>
        <w:pStyle w:val="PlainText"/>
        <w:numPr>
          <w:ilvl w:val="0"/>
          <w:numId w:val="6"/>
        </w:numPr>
        <w:rPr>
          <w:rFonts w:ascii="Arial" w:hAnsi="Arial" w:cs="Arial"/>
          <w:sz w:val="22"/>
          <w:szCs w:val="22"/>
        </w:rPr>
      </w:pPr>
      <w:r>
        <w:rPr>
          <w:rFonts w:ascii="Arial" w:hAnsi="Arial" w:cs="Arial"/>
          <w:sz w:val="22"/>
          <w:szCs w:val="22"/>
        </w:rPr>
        <w:t>SMT Report</w:t>
      </w:r>
      <w:r w:rsidRPr="00096212">
        <w:rPr>
          <w:rFonts w:ascii="Arial" w:hAnsi="Arial" w:cs="Arial"/>
          <w:sz w:val="22"/>
          <w:szCs w:val="22"/>
        </w:rPr>
        <w:t xml:space="preserve"> 2015/2016 stated that the categories used to log compensation claims, coupled with the poor recor</w:t>
      </w:r>
      <w:r>
        <w:rPr>
          <w:rFonts w:ascii="Arial" w:hAnsi="Arial" w:cs="Arial"/>
          <w:sz w:val="22"/>
          <w:szCs w:val="22"/>
        </w:rPr>
        <w:t>ding and management of same, mad</w:t>
      </w:r>
      <w:r w:rsidRPr="00096212">
        <w:rPr>
          <w:rFonts w:ascii="Arial" w:hAnsi="Arial" w:cs="Arial"/>
          <w:sz w:val="22"/>
          <w:szCs w:val="22"/>
        </w:rPr>
        <w:t>e it difficult to determine whether any claims were received (or payments made) outside of the compensation policy.</w:t>
      </w:r>
    </w:p>
    <w:p w:rsidR="00211BFD" w:rsidRPr="00096212" w:rsidRDefault="00211BFD" w:rsidP="00211BFD">
      <w:pPr>
        <w:pStyle w:val="PlainText"/>
        <w:numPr>
          <w:ilvl w:val="0"/>
          <w:numId w:val="5"/>
        </w:numPr>
        <w:rPr>
          <w:rFonts w:ascii="Arial" w:hAnsi="Arial" w:cs="Arial"/>
          <w:sz w:val="22"/>
          <w:szCs w:val="22"/>
        </w:rPr>
      </w:pPr>
      <w:r w:rsidRPr="00096212">
        <w:rPr>
          <w:rFonts w:ascii="Arial" w:hAnsi="Arial" w:cs="Arial"/>
          <w:sz w:val="22"/>
          <w:szCs w:val="22"/>
        </w:rPr>
        <w:t>Using the Complaints Learning and Performance report there is no doubt that NWLDC Complaints servi</w:t>
      </w:r>
      <w:r>
        <w:rPr>
          <w:rFonts w:ascii="Arial" w:hAnsi="Arial" w:cs="Arial"/>
          <w:sz w:val="22"/>
          <w:szCs w:val="22"/>
        </w:rPr>
        <w:t xml:space="preserve">ce, although achieving some </w:t>
      </w:r>
      <w:r w:rsidRPr="00096212">
        <w:rPr>
          <w:rFonts w:ascii="Arial" w:hAnsi="Arial" w:cs="Arial"/>
          <w:sz w:val="22"/>
          <w:szCs w:val="22"/>
        </w:rPr>
        <w:t xml:space="preserve">improvement, is still not </w:t>
      </w:r>
      <w:r w:rsidRPr="00096212">
        <w:rPr>
          <w:rFonts w:ascii="Arial" w:hAnsi="Arial" w:cs="Arial"/>
          <w:sz w:val="22"/>
          <w:szCs w:val="22"/>
        </w:rPr>
        <w:lastRenderedPageBreak/>
        <w:t>meeting the policy requirements for response</w:t>
      </w:r>
      <w:r>
        <w:rPr>
          <w:rFonts w:ascii="Arial" w:hAnsi="Arial" w:cs="Arial"/>
          <w:sz w:val="22"/>
          <w:szCs w:val="22"/>
        </w:rPr>
        <w:t xml:space="preserve"> times. At its worst AMT response time was in excess of 40 days.</w:t>
      </w:r>
    </w:p>
    <w:p w:rsidR="00211BFD" w:rsidRDefault="00211BFD" w:rsidP="00211BFD">
      <w:pPr>
        <w:pStyle w:val="PlainText"/>
        <w:numPr>
          <w:ilvl w:val="0"/>
          <w:numId w:val="5"/>
        </w:numPr>
        <w:rPr>
          <w:rFonts w:ascii="Arial" w:hAnsi="Arial" w:cs="Arial"/>
          <w:sz w:val="22"/>
          <w:szCs w:val="22"/>
        </w:rPr>
      </w:pPr>
      <w:r>
        <w:rPr>
          <w:rFonts w:ascii="Arial" w:hAnsi="Arial" w:cs="Arial"/>
          <w:sz w:val="22"/>
          <w:szCs w:val="22"/>
        </w:rPr>
        <w:t xml:space="preserve">In 2016/17 </w:t>
      </w:r>
      <w:r w:rsidRPr="00096212">
        <w:rPr>
          <w:rFonts w:ascii="Arial" w:hAnsi="Arial" w:cs="Arial"/>
          <w:sz w:val="22"/>
          <w:szCs w:val="22"/>
        </w:rPr>
        <w:t xml:space="preserve">NWLDC received 139 </w:t>
      </w:r>
      <w:r>
        <w:rPr>
          <w:rFonts w:ascii="Arial" w:hAnsi="Arial" w:cs="Arial"/>
          <w:sz w:val="22"/>
          <w:szCs w:val="22"/>
        </w:rPr>
        <w:t>Housing complaints vs. 59 compliments. In 2015/16 there were 103 complaints and 41 compliments and 2014/15 saw 175 complaints and 68 compliments.  T</w:t>
      </w:r>
      <w:r w:rsidRPr="00096212">
        <w:rPr>
          <w:rFonts w:ascii="Arial" w:hAnsi="Arial" w:cs="Arial"/>
          <w:sz w:val="22"/>
          <w:szCs w:val="22"/>
        </w:rPr>
        <w:t>he number of compliments seems to b</w:t>
      </w:r>
      <w:r>
        <w:rPr>
          <w:rFonts w:ascii="Arial" w:hAnsi="Arial" w:cs="Arial"/>
          <w:sz w:val="22"/>
          <w:szCs w:val="22"/>
        </w:rPr>
        <w:t>e consistently low, with some fluctuations. T</w:t>
      </w:r>
      <w:r w:rsidRPr="00096212">
        <w:rPr>
          <w:rFonts w:ascii="Arial" w:hAnsi="Arial" w:cs="Arial"/>
          <w:sz w:val="22"/>
          <w:szCs w:val="22"/>
        </w:rPr>
        <w:t>here should be more emphasis on making staff aware that any</w:t>
      </w:r>
      <w:r>
        <w:rPr>
          <w:rFonts w:ascii="Arial" w:hAnsi="Arial" w:cs="Arial"/>
          <w:sz w:val="22"/>
          <w:szCs w:val="22"/>
        </w:rPr>
        <w:t>/all</w:t>
      </w:r>
      <w:r w:rsidRPr="00096212">
        <w:rPr>
          <w:rFonts w:ascii="Arial" w:hAnsi="Arial" w:cs="Arial"/>
          <w:sz w:val="22"/>
          <w:szCs w:val="22"/>
        </w:rPr>
        <w:t xml:space="preserve"> compliments they receive – in any form (e</w:t>
      </w:r>
      <w:r>
        <w:rPr>
          <w:rFonts w:ascii="Arial" w:hAnsi="Arial" w:cs="Arial"/>
          <w:sz w:val="22"/>
          <w:szCs w:val="22"/>
        </w:rPr>
        <w:t>.</w:t>
      </w:r>
      <w:r w:rsidRPr="00096212">
        <w:rPr>
          <w:rFonts w:ascii="Arial" w:hAnsi="Arial" w:cs="Arial"/>
          <w:sz w:val="22"/>
          <w:szCs w:val="22"/>
        </w:rPr>
        <w:t>g</w:t>
      </w:r>
      <w:r>
        <w:rPr>
          <w:rFonts w:ascii="Arial" w:hAnsi="Arial" w:cs="Arial"/>
          <w:sz w:val="22"/>
          <w:szCs w:val="22"/>
        </w:rPr>
        <w:t>.</w:t>
      </w:r>
      <w:r w:rsidRPr="00096212">
        <w:rPr>
          <w:rFonts w:ascii="Arial" w:hAnsi="Arial" w:cs="Arial"/>
          <w:sz w:val="22"/>
          <w:szCs w:val="22"/>
        </w:rPr>
        <w:t xml:space="preserve"> emails, cards</w:t>
      </w:r>
      <w:r>
        <w:rPr>
          <w:rFonts w:ascii="Arial" w:hAnsi="Arial" w:cs="Arial"/>
          <w:sz w:val="22"/>
          <w:szCs w:val="22"/>
        </w:rPr>
        <w:t>, calls</w:t>
      </w:r>
      <w:r w:rsidRPr="00096212">
        <w:rPr>
          <w:rFonts w:ascii="Arial" w:hAnsi="Arial" w:cs="Arial"/>
          <w:sz w:val="22"/>
          <w:szCs w:val="22"/>
        </w:rPr>
        <w:t xml:space="preserve"> etc.) </w:t>
      </w:r>
      <w:r>
        <w:rPr>
          <w:rFonts w:ascii="Arial" w:hAnsi="Arial" w:cs="Arial"/>
          <w:sz w:val="22"/>
          <w:szCs w:val="22"/>
        </w:rPr>
        <w:t xml:space="preserve">– should be included in tracking data and captured on the appropriate electronic system.  There is already a corporate system that can capture customer compliments simply by sending an email to </w:t>
      </w:r>
      <w:hyperlink r:id="rId6" w:history="1">
        <w:r w:rsidRPr="00755706">
          <w:rPr>
            <w:rStyle w:val="Hyperlink"/>
            <w:rFonts w:ascii="Arial" w:hAnsi="Arial" w:cs="Arial"/>
            <w:sz w:val="22"/>
            <w:szCs w:val="22"/>
          </w:rPr>
          <w:t>feedback@NWLeicestershire.gov.uk</w:t>
        </w:r>
      </w:hyperlink>
      <w:r>
        <w:rPr>
          <w:rFonts w:ascii="Arial" w:hAnsi="Arial" w:cs="Arial"/>
          <w:sz w:val="22"/>
          <w:szCs w:val="22"/>
        </w:rPr>
        <w:t>. Staff should be reminded of this facility and it would be simple to ensure that the NWLDC website publicises it so that tenants and residents could also post their compliments direct.</w:t>
      </w:r>
    </w:p>
    <w:p w:rsidR="00211BFD" w:rsidRDefault="00211BFD" w:rsidP="00211BFD">
      <w:pPr>
        <w:pStyle w:val="PlainText"/>
        <w:numPr>
          <w:ilvl w:val="0"/>
          <w:numId w:val="5"/>
        </w:numPr>
        <w:rPr>
          <w:rFonts w:ascii="Arial" w:hAnsi="Arial" w:cs="Arial"/>
          <w:sz w:val="22"/>
          <w:szCs w:val="22"/>
        </w:rPr>
      </w:pPr>
      <w:r>
        <w:rPr>
          <w:rFonts w:ascii="Arial" w:hAnsi="Arial" w:cs="Arial"/>
          <w:sz w:val="22"/>
          <w:szCs w:val="22"/>
        </w:rPr>
        <w:t>When handling complaints, there is evidence that communications between NWLDC and its tenants is poor and it is imperative that there is improvement in this area. NWLDC should encourage initial complaints to be responded to in less than the ten day target. It would appear that occurrences of complaints responses being left to the last day is common practice, indeed evidence indicates response times are not consistently met resulting in an increase of level 2 complaints. NWLDC must ensure that everyone involved in the complaints processes and procedures complies with the timescales quoted in the Complaints Policy and where possible performs better than the agreed timescales.</w:t>
      </w:r>
    </w:p>
    <w:p w:rsidR="00211BFD" w:rsidRDefault="00211BFD" w:rsidP="00211BFD">
      <w:pPr>
        <w:pStyle w:val="PlainText"/>
        <w:numPr>
          <w:ilvl w:val="0"/>
          <w:numId w:val="5"/>
        </w:numPr>
        <w:rPr>
          <w:rFonts w:ascii="Arial" w:hAnsi="Arial" w:cs="Arial"/>
          <w:sz w:val="22"/>
          <w:szCs w:val="22"/>
        </w:rPr>
      </w:pPr>
      <w:r>
        <w:rPr>
          <w:rFonts w:ascii="Arial" w:hAnsi="Arial" w:cs="Arial"/>
          <w:sz w:val="22"/>
          <w:szCs w:val="22"/>
        </w:rPr>
        <w:t>The TSP is aware that NWLDC has piloted a programme designed to capture learning points identified through logging complaints and formulating responses and actions to avoid recurrence in the future. The Panel consider this to be good practice and that it should continue.</w:t>
      </w:r>
    </w:p>
    <w:p w:rsidR="00211BFD" w:rsidRDefault="00211BFD" w:rsidP="00211BFD">
      <w:pPr>
        <w:pStyle w:val="PlainText"/>
        <w:numPr>
          <w:ilvl w:val="0"/>
          <w:numId w:val="5"/>
        </w:numPr>
        <w:rPr>
          <w:rFonts w:ascii="Arial" w:hAnsi="Arial" w:cs="Arial"/>
          <w:sz w:val="22"/>
          <w:szCs w:val="22"/>
        </w:rPr>
      </w:pPr>
      <w:r>
        <w:rPr>
          <w:rFonts w:ascii="Arial" w:hAnsi="Arial" w:cs="Arial"/>
          <w:sz w:val="22"/>
          <w:szCs w:val="22"/>
        </w:rPr>
        <w:t>NWLDC is not proactive but rather reactive when dealing with complaints, there appears to be a lack of accountability due to not having a dedicated officer to deal with complaints; this is apparent as when there was a dedicated resource the level of outstanding complaints dropped significantly.</w:t>
      </w:r>
    </w:p>
    <w:p w:rsidR="00211BFD" w:rsidRDefault="00211BFD" w:rsidP="00211BFD">
      <w:pPr>
        <w:pStyle w:val="PlainText"/>
        <w:numPr>
          <w:ilvl w:val="0"/>
          <w:numId w:val="5"/>
        </w:numPr>
        <w:rPr>
          <w:rFonts w:ascii="Arial" w:hAnsi="Arial" w:cs="Arial"/>
          <w:sz w:val="22"/>
          <w:szCs w:val="22"/>
        </w:rPr>
      </w:pPr>
      <w:r>
        <w:rPr>
          <w:rFonts w:ascii="Arial" w:hAnsi="Arial" w:cs="Arial"/>
          <w:sz w:val="22"/>
          <w:szCs w:val="22"/>
        </w:rPr>
        <w:t>There appears to be no training relevant for staff on dealing with customer feedback.</w:t>
      </w:r>
    </w:p>
    <w:p w:rsidR="00211BFD" w:rsidRDefault="00211BFD" w:rsidP="00211BFD">
      <w:pPr>
        <w:pStyle w:val="PlainText"/>
        <w:numPr>
          <w:ilvl w:val="0"/>
          <w:numId w:val="5"/>
        </w:numPr>
        <w:rPr>
          <w:rFonts w:ascii="Arial" w:hAnsi="Arial" w:cs="Arial"/>
          <w:sz w:val="22"/>
          <w:szCs w:val="22"/>
        </w:rPr>
      </w:pPr>
      <w:r>
        <w:rPr>
          <w:rFonts w:ascii="Arial" w:hAnsi="Arial" w:cs="Arial"/>
          <w:sz w:val="22"/>
          <w:szCs w:val="22"/>
        </w:rPr>
        <w:t>It appears the Asset Management Team (AMT) and the Housing Service generally may consider a complaint from a tenant regarding a failed request for service as an additional request for service in order to both satisfy the tenant and resolve the issue. The problem with this is the tenant may believe s/he has in fact made a complaint, but this has not been recorded as a formal complaint with the Business Improvement Team. In the event that the issue continues unresolved and is then raised as a formal complaint the Business Improvement Team will not have been aware of this previously and this can confuse both the tenant and the Business improvement Team.</w:t>
      </w:r>
    </w:p>
    <w:p w:rsidR="00211BFD" w:rsidRDefault="00211BFD" w:rsidP="00211BFD">
      <w:pPr>
        <w:rPr>
          <w:rFonts w:cs="Arial"/>
        </w:rPr>
      </w:pPr>
    </w:p>
    <w:p w:rsidR="00211BFD" w:rsidRPr="00066A25" w:rsidRDefault="00211BFD" w:rsidP="00211BFD">
      <w:pPr>
        <w:pStyle w:val="PlainText"/>
        <w:rPr>
          <w:rFonts w:ascii="Calibri" w:hAnsi="Calibri" w:cs="Arial"/>
          <w:sz w:val="32"/>
          <w:szCs w:val="32"/>
        </w:rPr>
      </w:pPr>
    </w:p>
    <w:p w:rsidR="00211BFD" w:rsidRPr="00066A25" w:rsidRDefault="00211BFD" w:rsidP="00211BFD">
      <w:pPr>
        <w:pStyle w:val="PlainText"/>
        <w:ind w:left="360"/>
        <w:rPr>
          <w:rFonts w:ascii="Calibri" w:hAnsi="Calibri" w:cs="Arial"/>
          <w:b/>
          <w:sz w:val="32"/>
          <w:szCs w:val="32"/>
        </w:rPr>
      </w:pPr>
      <w:r w:rsidRPr="00066A25">
        <w:rPr>
          <w:rFonts w:ascii="Calibri" w:hAnsi="Calibri" w:cs="Arial"/>
          <w:b/>
          <w:sz w:val="32"/>
          <w:szCs w:val="32"/>
        </w:rPr>
        <w:t>9</w:t>
      </w:r>
      <w:r w:rsidRPr="00066A25">
        <w:rPr>
          <w:rFonts w:ascii="Calibri" w:hAnsi="Calibri" w:cs="Arial"/>
          <w:b/>
          <w:sz w:val="32"/>
          <w:szCs w:val="32"/>
        </w:rPr>
        <w:tab/>
        <w:t>Recommendations:</w:t>
      </w:r>
    </w:p>
    <w:p w:rsidR="00211BFD" w:rsidRDefault="00211BFD" w:rsidP="00211BFD">
      <w:pPr>
        <w:pStyle w:val="PlainText"/>
        <w:tabs>
          <w:tab w:val="left" w:pos="1440"/>
        </w:tabs>
        <w:rPr>
          <w:rFonts w:ascii="Arial" w:hAnsi="Arial" w:cs="Arial"/>
          <w:sz w:val="22"/>
          <w:szCs w:val="22"/>
        </w:rPr>
      </w:pPr>
    </w:p>
    <w:p w:rsidR="00211BFD" w:rsidRPr="003A32BD" w:rsidRDefault="00211BFD" w:rsidP="00211BFD">
      <w:pPr>
        <w:pStyle w:val="PlainText"/>
        <w:numPr>
          <w:ilvl w:val="0"/>
          <w:numId w:val="3"/>
        </w:numPr>
        <w:rPr>
          <w:rFonts w:ascii="Arial" w:hAnsi="Arial" w:cs="Arial"/>
          <w:sz w:val="22"/>
          <w:szCs w:val="22"/>
        </w:rPr>
      </w:pPr>
      <w:r w:rsidRPr="003A32BD">
        <w:rPr>
          <w:rFonts w:ascii="Arial" w:hAnsi="Arial" w:cs="Arial"/>
          <w:sz w:val="22"/>
          <w:szCs w:val="22"/>
        </w:rPr>
        <w:t>NWLDC undertake</w:t>
      </w:r>
      <w:r>
        <w:rPr>
          <w:rFonts w:ascii="Arial" w:hAnsi="Arial" w:cs="Arial"/>
          <w:sz w:val="22"/>
          <w:szCs w:val="22"/>
        </w:rPr>
        <w:t>s</w:t>
      </w:r>
      <w:r w:rsidRPr="003A32BD">
        <w:rPr>
          <w:rFonts w:ascii="Arial" w:hAnsi="Arial" w:cs="Arial"/>
          <w:sz w:val="22"/>
          <w:szCs w:val="22"/>
        </w:rPr>
        <w:t xml:space="preserve"> a full and in-depth review of the current Complaints </w:t>
      </w:r>
      <w:r>
        <w:rPr>
          <w:rFonts w:ascii="Arial" w:hAnsi="Arial" w:cs="Arial"/>
          <w:sz w:val="22"/>
          <w:szCs w:val="22"/>
        </w:rPr>
        <w:t xml:space="preserve">and Compensation policies </w:t>
      </w:r>
      <w:r w:rsidRPr="003A32BD">
        <w:rPr>
          <w:rFonts w:ascii="Arial" w:hAnsi="Arial" w:cs="Arial"/>
          <w:sz w:val="22"/>
          <w:szCs w:val="22"/>
        </w:rPr>
        <w:t>to:</w:t>
      </w:r>
    </w:p>
    <w:p w:rsidR="00211BFD" w:rsidRDefault="00211BFD" w:rsidP="00211BFD">
      <w:pPr>
        <w:pStyle w:val="PlainText"/>
        <w:numPr>
          <w:ilvl w:val="1"/>
          <w:numId w:val="3"/>
        </w:numPr>
        <w:rPr>
          <w:rFonts w:ascii="Arial" w:hAnsi="Arial" w:cs="Arial"/>
          <w:sz w:val="22"/>
          <w:szCs w:val="22"/>
        </w:rPr>
      </w:pPr>
      <w:r>
        <w:rPr>
          <w:rFonts w:ascii="Arial" w:hAnsi="Arial" w:cs="Arial"/>
          <w:sz w:val="22"/>
          <w:szCs w:val="22"/>
        </w:rPr>
        <w:t>Ensure the policy is clear about what constitutes a complaint – i.e. a request for service (repairs) is not a complaint although it seems clear some tenants understandably believe they are complaining because there is something wrong with their property.</w:t>
      </w:r>
    </w:p>
    <w:p w:rsidR="00211BFD" w:rsidRPr="000760F5" w:rsidRDefault="00211BFD" w:rsidP="00211BFD">
      <w:pPr>
        <w:pStyle w:val="PlainText"/>
        <w:numPr>
          <w:ilvl w:val="1"/>
          <w:numId w:val="3"/>
        </w:numPr>
        <w:rPr>
          <w:rFonts w:ascii="Arial" w:hAnsi="Arial" w:cs="Arial"/>
          <w:sz w:val="22"/>
          <w:szCs w:val="22"/>
        </w:rPr>
      </w:pPr>
      <w:r w:rsidRPr="003A32BD">
        <w:rPr>
          <w:rFonts w:ascii="Arial" w:hAnsi="Arial" w:cs="Arial"/>
          <w:sz w:val="22"/>
          <w:szCs w:val="22"/>
        </w:rPr>
        <w:t>Reconsider the level of genuine compensation pay-outs</w:t>
      </w:r>
      <w:r>
        <w:rPr>
          <w:rFonts w:ascii="Arial" w:hAnsi="Arial" w:cs="Arial"/>
          <w:sz w:val="22"/>
          <w:szCs w:val="22"/>
        </w:rPr>
        <w:t xml:space="preserve"> with an emphasis on each case being looked at on its own merits. The Panel would recommend that if a tenant can evidence a loss of earnings as a results of taking time off </w:t>
      </w:r>
      <w:r>
        <w:rPr>
          <w:rFonts w:ascii="Arial" w:hAnsi="Arial" w:cs="Arial"/>
          <w:sz w:val="22"/>
          <w:szCs w:val="22"/>
        </w:rPr>
        <w:lastRenderedPageBreak/>
        <w:t>work for an appointment and that appointment is missed the evidenced loss of earnings should be compensated.</w:t>
      </w:r>
    </w:p>
    <w:p w:rsidR="00211BFD" w:rsidRDefault="00211BFD" w:rsidP="00211BFD">
      <w:pPr>
        <w:pStyle w:val="PlainText"/>
        <w:numPr>
          <w:ilvl w:val="0"/>
          <w:numId w:val="3"/>
        </w:numPr>
        <w:rPr>
          <w:rFonts w:ascii="Arial" w:hAnsi="Arial" w:cs="Arial"/>
          <w:sz w:val="22"/>
          <w:szCs w:val="22"/>
        </w:rPr>
      </w:pPr>
      <w:r>
        <w:rPr>
          <w:rFonts w:ascii="Arial" w:hAnsi="Arial" w:cs="Arial"/>
          <w:sz w:val="22"/>
          <w:szCs w:val="22"/>
        </w:rPr>
        <w:t>Ensure that any system used to capture information on complaints has a good tracking system so that each complaint is kept on track and up to date and all communications with the complainant are recorded.  Also this system should automatically generate the next due date for a response.</w:t>
      </w:r>
    </w:p>
    <w:p w:rsidR="00211BFD" w:rsidRDefault="00211BFD" w:rsidP="00211BFD">
      <w:pPr>
        <w:pStyle w:val="PlainText"/>
        <w:numPr>
          <w:ilvl w:val="0"/>
          <w:numId w:val="3"/>
        </w:numPr>
        <w:rPr>
          <w:rFonts w:ascii="Arial" w:hAnsi="Arial" w:cs="Arial"/>
          <w:sz w:val="22"/>
          <w:szCs w:val="22"/>
        </w:rPr>
      </w:pPr>
      <w:r>
        <w:rPr>
          <w:rFonts w:ascii="Arial" w:hAnsi="Arial" w:cs="Arial"/>
          <w:sz w:val="22"/>
          <w:szCs w:val="22"/>
        </w:rPr>
        <w:t>The focus on learning from complaints should be emphasised and reported on a regular basis through various forms of media (i.e. website, Intouch etc.) This is a prime example of how the housing service can evidence it listens to its tenants and as a result improves its services.</w:t>
      </w:r>
    </w:p>
    <w:p w:rsidR="00211BFD" w:rsidRPr="004E3C02" w:rsidRDefault="00211BFD" w:rsidP="00211BFD">
      <w:pPr>
        <w:pStyle w:val="PlainText"/>
        <w:numPr>
          <w:ilvl w:val="0"/>
          <w:numId w:val="3"/>
        </w:numPr>
        <w:rPr>
          <w:rFonts w:ascii="Arial" w:hAnsi="Arial" w:cs="Arial"/>
          <w:sz w:val="22"/>
          <w:szCs w:val="22"/>
        </w:rPr>
      </w:pPr>
      <w:r>
        <w:rPr>
          <w:rFonts w:ascii="Arial" w:hAnsi="Arial" w:cs="Arial"/>
          <w:sz w:val="22"/>
          <w:szCs w:val="22"/>
        </w:rPr>
        <w:t>The Housing Service should consider the appointment of a complaints officer who will dedicate a high proportion of their time to dealing with complaints,</w:t>
      </w:r>
      <w:r w:rsidRPr="003A32BD">
        <w:rPr>
          <w:rFonts w:ascii="Arial" w:hAnsi="Arial" w:cs="Arial"/>
          <w:sz w:val="22"/>
          <w:szCs w:val="22"/>
        </w:rPr>
        <w:t xml:space="preserve"> this will provide a </w:t>
      </w:r>
      <w:r w:rsidRPr="000760F5">
        <w:rPr>
          <w:rFonts w:ascii="Arial" w:hAnsi="Arial" w:cs="Arial"/>
          <w:sz w:val="22"/>
          <w:szCs w:val="22"/>
        </w:rPr>
        <w:t>named contact for each complainant and ensure accountability and transparency for NWLDC.</w:t>
      </w:r>
    </w:p>
    <w:p w:rsidR="00211BFD" w:rsidRPr="0067615A" w:rsidRDefault="00211BFD" w:rsidP="00211BFD">
      <w:pPr>
        <w:pStyle w:val="PlainText"/>
        <w:numPr>
          <w:ilvl w:val="0"/>
          <w:numId w:val="3"/>
        </w:numPr>
        <w:rPr>
          <w:rFonts w:ascii="Arial" w:hAnsi="Arial" w:cs="Arial"/>
          <w:sz w:val="22"/>
          <w:szCs w:val="22"/>
        </w:rPr>
      </w:pPr>
      <w:r>
        <w:rPr>
          <w:rFonts w:ascii="Arial" w:hAnsi="Arial" w:cs="Arial"/>
          <w:sz w:val="22"/>
          <w:szCs w:val="22"/>
        </w:rPr>
        <w:t>All staff</w:t>
      </w:r>
      <w:r w:rsidRPr="004E3C02">
        <w:rPr>
          <w:rFonts w:ascii="Arial" w:hAnsi="Arial" w:cs="Arial"/>
          <w:sz w:val="22"/>
          <w:szCs w:val="22"/>
        </w:rPr>
        <w:t xml:space="preserve"> involved in complaints </w:t>
      </w:r>
      <w:r>
        <w:rPr>
          <w:rFonts w:ascii="Arial" w:hAnsi="Arial" w:cs="Arial"/>
          <w:sz w:val="22"/>
          <w:szCs w:val="22"/>
        </w:rPr>
        <w:t>must</w:t>
      </w:r>
      <w:r w:rsidRPr="004E3C02">
        <w:rPr>
          <w:rFonts w:ascii="Arial" w:hAnsi="Arial" w:cs="Arial"/>
          <w:sz w:val="22"/>
          <w:szCs w:val="22"/>
        </w:rPr>
        <w:t xml:space="preserve"> ensure</w:t>
      </w:r>
      <w:r>
        <w:rPr>
          <w:rFonts w:ascii="Arial" w:hAnsi="Arial" w:cs="Arial"/>
          <w:sz w:val="22"/>
          <w:szCs w:val="22"/>
        </w:rPr>
        <w:t xml:space="preserve"> that agreed timescales are adhered to in line with NWLDC Feedback Policy, indeed staff should be encouraged to respond to complaints in less than the agreed timescales wherever possible and not wait until the 10</w:t>
      </w:r>
      <w:r w:rsidRPr="001C366A">
        <w:rPr>
          <w:rFonts w:ascii="Arial" w:hAnsi="Arial" w:cs="Arial"/>
          <w:sz w:val="22"/>
          <w:szCs w:val="22"/>
          <w:vertAlign w:val="superscript"/>
        </w:rPr>
        <w:t>th</w:t>
      </w:r>
      <w:r>
        <w:rPr>
          <w:rFonts w:ascii="Arial" w:hAnsi="Arial" w:cs="Arial"/>
          <w:sz w:val="22"/>
          <w:szCs w:val="22"/>
        </w:rPr>
        <w:t xml:space="preserve"> day to respond. T</w:t>
      </w:r>
      <w:r w:rsidRPr="0067615A">
        <w:rPr>
          <w:rFonts w:ascii="Arial" w:hAnsi="Arial" w:cs="Arial"/>
          <w:sz w:val="22"/>
          <w:szCs w:val="22"/>
        </w:rPr>
        <w:t xml:space="preserve">his </w:t>
      </w:r>
      <w:r w:rsidRPr="004E3C02">
        <w:rPr>
          <w:rFonts w:ascii="Arial" w:hAnsi="Arial" w:cs="Arial"/>
          <w:sz w:val="22"/>
          <w:szCs w:val="22"/>
        </w:rPr>
        <w:t>would also mean that</w:t>
      </w:r>
      <w:r w:rsidRPr="0067615A">
        <w:rPr>
          <w:rFonts w:ascii="Arial" w:hAnsi="Arial" w:cs="Arial"/>
          <w:sz w:val="22"/>
          <w:szCs w:val="22"/>
        </w:rPr>
        <w:t xml:space="preserve"> some complaints are ‘headed off at the pass’ and don’t become Stage 2.</w:t>
      </w:r>
      <w:r>
        <w:rPr>
          <w:rFonts w:ascii="Arial" w:hAnsi="Arial" w:cs="Arial"/>
          <w:sz w:val="22"/>
          <w:szCs w:val="22"/>
        </w:rPr>
        <w:t xml:space="preserve"> It is unacceptable that so many complaints are not responded to within agreed timescales.</w:t>
      </w:r>
    </w:p>
    <w:p w:rsidR="00211BFD" w:rsidRDefault="00211BFD" w:rsidP="00211BFD">
      <w:pPr>
        <w:pStyle w:val="PlainText"/>
        <w:numPr>
          <w:ilvl w:val="0"/>
          <w:numId w:val="3"/>
        </w:numPr>
        <w:rPr>
          <w:rFonts w:ascii="Arial" w:hAnsi="Arial" w:cs="Arial"/>
          <w:sz w:val="22"/>
          <w:szCs w:val="22"/>
        </w:rPr>
      </w:pPr>
      <w:r w:rsidRPr="003A32BD">
        <w:rPr>
          <w:rFonts w:ascii="Arial" w:hAnsi="Arial" w:cs="Arial"/>
          <w:sz w:val="22"/>
          <w:szCs w:val="22"/>
        </w:rPr>
        <w:t>Although a number of complaints are resolved following</w:t>
      </w:r>
      <w:r>
        <w:rPr>
          <w:rFonts w:ascii="Arial" w:hAnsi="Arial" w:cs="Arial"/>
          <w:sz w:val="22"/>
          <w:szCs w:val="22"/>
        </w:rPr>
        <w:t xml:space="preserve"> telephone contact by NWLDC, a letter must always be</w:t>
      </w:r>
      <w:r w:rsidRPr="003A32BD">
        <w:rPr>
          <w:rFonts w:ascii="Arial" w:hAnsi="Arial" w:cs="Arial"/>
          <w:sz w:val="22"/>
          <w:szCs w:val="22"/>
        </w:rPr>
        <w:t xml:space="preserve"> s</w:t>
      </w:r>
      <w:r>
        <w:rPr>
          <w:rFonts w:ascii="Arial" w:hAnsi="Arial" w:cs="Arial"/>
          <w:sz w:val="22"/>
          <w:szCs w:val="22"/>
        </w:rPr>
        <w:t>ent to the complainant to finalise/close the complaint; this must be adhered to.</w:t>
      </w:r>
    </w:p>
    <w:p w:rsidR="00211BFD" w:rsidRDefault="00211BFD" w:rsidP="00211BFD">
      <w:pPr>
        <w:pStyle w:val="PlainText"/>
        <w:numPr>
          <w:ilvl w:val="0"/>
          <w:numId w:val="3"/>
        </w:numPr>
        <w:rPr>
          <w:rFonts w:ascii="Arial" w:hAnsi="Arial" w:cs="Arial"/>
          <w:sz w:val="22"/>
          <w:szCs w:val="22"/>
        </w:rPr>
      </w:pPr>
      <w:r>
        <w:rPr>
          <w:rFonts w:ascii="Arial" w:hAnsi="Arial" w:cs="Arial"/>
          <w:sz w:val="22"/>
          <w:szCs w:val="22"/>
        </w:rPr>
        <w:t>The TSP suggests that NWLDC carries out a skills analysis of all employees engaged in handling complaints, identify any gaps in skills levels and arrange relevant training, ensuring it is relevant and effective.   Once delivered, assess effectiveness to see if it met the needs of each individual; if this is not the case arrange additional training.  Keep individual training records on file with HR and use in conjunction with annual appraisals to keep staff abreast of new developments (e.g. changes to computer systems etc.) and to record personal aspirations.</w:t>
      </w:r>
    </w:p>
    <w:p w:rsidR="00211BFD" w:rsidRDefault="00211BFD" w:rsidP="00211BFD">
      <w:pPr>
        <w:pStyle w:val="PlainText"/>
        <w:numPr>
          <w:ilvl w:val="0"/>
          <w:numId w:val="3"/>
        </w:numPr>
        <w:rPr>
          <w:rFonts w:ascii="Arial" w:hAnsi="Arial" w:cs="Arial"/>
          <w:sz w:val="22"/>
          <w:szCs w:val="22"/>
        </w:rPr>
      </w:pPr>
      <w:r>
        <w:rPr>
          <w:rFonts w:ascii="Arial" w:hAnsi="Arial" w:cs="Arial"/>
          <w:sz w:val="22"/>
          <w:szCs w:val="22"/>
        </w:rPr>
        <w:t>Adopt use of ‘batch jobs’ – allocating operatives to certain postcode areas and repairs to that particular area/date, thereby increasing their efficiency and effectiveness and reducing travel times and costs.</w:t>
      </w:r>
    </w:p>
    <w:p w:rsidR="00211BFD" w:rsidRDefault="00211BFD" w:rsidP="00211BFD">
      <w:pPr>
        <w:pStyle w:val="PlainText"/>
        <w:numPr>
          <w:ilvl w:val="0"/>
          <w:numId w:val="3"/>
        </w:numPr>
        <w:rPr>
          <w:rFonts w:ascii="Arial" w:hAnsi="Arial" w:cs="Arial"/>
          <w:sz w:val="22"/>
          <w:szCs w:val="22"/>
        </w:rPr>
      </w:pPr>
      <w:r>
        <w:rPr>
          <w:rFonts w:ascii="Arial" w:hAnsi="Arial" w:cs="Arial"/>
          <w:sz w:val="22"/>
          <w:szCs w:val="22"/>
        </w:rPr>
        <w:t>The Housing Service and AMT must develop a robust procedure that identifies clearly when a request for service becomes a complaint (The panel believes this should be immediately when the request for service fails the first time) and then follows the corporate complaints route.</w:t>
      </w:r>
    </w:p>
    <w:p w:rsidR="00211BFD" w:rsidRPr="006569D4" w:rsidRDefault="00211BFD" w:rsidP="00211BFD">
      <w:pPr>
        <w:pStyle w:val="PlainText"/>
        <w:numPr>
          <w:ilvl w:val="0"/>
          <w:numId w:val="3"/>
        </w:numPr>
        <w:rPr>
          <w:rFonts w:ascii="Arial" w:hAnsi="Arial" w:cs="Arial"/>
          <w:sz w:val="22"/>
          <w:szCs w:val="22"/>
        </w:rPr>
      </w:pPr>
      <w:r>
        <w:rPr>
          <w:rFonts w:ascii="Arial" w:hAnsi="Arial" w:cs="Arial"/>
          <w:sz w:val="22"/>
          <w:szCs w:val="22"/>
        </w:rPr>
        <w:t>Learning from complaints should be part of the continuing improvement process.</w:t>
      </w:r>
    </w:p>
    <w:p w:rsidR="00211BFD" w:rsidRPr="00A278FC" w:rsidRDefault="00211BFD" w:rsidP="00211BFD">
      <w:pPr>
        <w:pStyle w:val="PlainText"/>
        <w:ind w:left="360"/>
        <w:rPr>
          <w:rFonts w:ascii="Arial" w:hAnsi="Arial" w:cs="Arial"/>
          <w:sz w:val="22"/>
          <w:szCs w:val="22"/>
        </w:rPr>
      </w:pPr>
    </w:p>
    <w:p w:rsidR="00211BFD" w:rsidRPr="003A32BD" w:rsidRDefault="00211BFD" w:rsidP="00211BFD">
      <w:pPr>
        <w:pStyle w:val="PlainText"/>
        <w:rPr>
          <w:rFonts w:ascii="Arial" w:hAnsi="Arial" w:cs="Arial"/>
          <w:sz w:val="22"/>
          <w:szCs w:val="22"/>
        </w:rPr>
      </w:pPr>
    </w:p>
    <w:p w:rsidR="00211BFD" w:rsidRPr="003A32BD" w:rsidRDefault="00211BFD" w:rsidP="00211BFD">
      <w:pPr>
        <w:pStyle w:val="PlainText"/>
        <w:rPr>
          <w:rFonts w:ascii="Arial" w:hAnsi="Arial" w:cs="Arial"/>
          <w:sz w:val="22"/>
          <w:szCs w:val="22"/>
        </w:rPr>
      </w:pPr>
    </w:p>
    <w:p w:rsidR="00211BFD" w:rsidRPr="003A32BD" w:rsidRDefault="00211BFD" w:rsidP="00211BFD">
      <w:pPr>
        <w:pStyle w:val="PlainText"/>
        <w:rPr>
          <w:rFonts w:ascii="Arial" w:hAnsi="Arial" w:cs="Arial"/>
          <w:sz w:val="22"/>
          <w:szCs w:val="22"/>
        </w:rPr>
      </w:pPr>
    </w:p>
    <w:p w:rsidR="00211BFD" w:rsidRPr="003A32BD" w:rsidRDefault="00211BFD" w:rsidP="00211BFD">
      <w:pPr>
        <w:pStyle w:val="PlainText"/>
        <w:ind w:left="360"/>
        <w:rPr>
          <w:rFonts w:ascii="Arial" w:hAnsi="Arial" w:cs="Arial"/>
          <w:b/>
          <w:sz w:val="22"/>
          <w:szCs w:val="22"/>
        </w:rPr>
      </w:pPr>
      <w:r w:rsidRPr="003A32BD">
        <w:rPr>
          <w:rFonts w:ascii="Arial" w:hAnsi="Arial" w:cs="Arial"/>
          <w:sz w:val="22"/>
          <w:szCs w:val="22"/>
        </w:rPr>
        <w:t>Janet Higgins, Chair, On behalf of the Tenant Scrutiny Panel</w:t>
      </w:r>
    </w:p>
    <w:p w:rsidR="00211BFD" w:rsidRPr="003A32BD" w:rsidRDefault="00211BFD" w:rsidP="00211BFD">
      <w:pPr>
        <w:pStyle w:val="PlainText"/>
        <w:rPr>
          <w:rFonts w:ascii="Arial" w:hAnsi="Arial" w:cs="Arial"/>
          <w:sz w:val="22"/>
          <w:szCs w:val="22"/>
        </w:rPr>
      </w:pPr>
    </w:p>
    <w:p w:rsidR="00211BFD" w:rsidRDefault="00211BFD" w:rsidP="00211BFD">
      <w:pPr>
        <w:pStyle w:val="PlainText"/>
        <w:ind w:left="360"/>
        <w:rPr>
          <w:rFonts w:ascii="Arial" w:hAnsi="Arial" w:cs="Arial"/>
          <w:sz w:val="22"/>
          <w:szCs w:val="22"/>
        </w:rPr>
      </w:pPr>
      <w:r w:rsidRPr="003A32BD">
        <w:rPr>
          <w:rFonts w:ascii="Arial" w:hAnsi="Arial" w:cs="Arial"/>
          <w:sz w:val="22"/>
          <w:szCs w:val="22"/>
        </w:rPr>
        <w:t>NWLDC/TSP/2017 Reports/ Complaints V</w:t>
      </w:r>
      <w:r>
        <w:rPr>
          <w:rFonts w:ascii="Arial" w:hAnsi="Arial" w:cs="Arial"/>
          <w:sz w:val="22"/>
          <w:szCs w:val="22"/>
        </w:rPr>
        <w:t>5</w:t>
      </w:r>
    </w:p>
    <w:p w:rsidR="00211BFD" w:rsidRDefault="00211BFD" w:rsidP="00211BFD">
      <w:pPr>
        <w:pStyle w:val="PlainText"/>
        <w:ind w:left="360"/>
        <w:rPr>
          <w:rFonts w:ascii="Arial" w:hAnsi="Arial" w:cs="Arial"/>
          <w:sz w:val="22"/>
          <w:szCs w:val="22"/>
        </w:rPr>
      </w:pPr>
    </w:p>
    <w:p w:rsidR="00211BFD" w:rsidRDefault="00211BFD" w:rsidP="00211BFD">
      <w:pPr>
        <w:pStyle w:val="PlainText"/>
        <w:ind w:left="360"/>
        <w:rPr>
          <w:rFonts w:ascii="Arial" w:hAnsi="Arial" w:cs="Arial"/>
          <w:sz w:val="22"/>
          <w:szCs w:val="22"/>
        </w:rPr>
      </w:pPr>
    </w:p>
    <w:p w:rsidR="00211BFD" w:rsidRPr="00066A25" w:rsidRDefault="00211BFD" w:rsidP="00211BFD">
      <w:pPr>
        <w:tabs>
          <w:tab w:val="left" w:pos="567"/>
        </w:tabs>
        <w:rPr>
          <w:rFonts w:cs="Arial"/>
          <w:b/>
          <w:sz w:val="22"/>
          <w:szCs w:val="22"/>
        </w:rPr>
      </w:pPr>
    </w:p>
    <w:p w:rsidR="00254CB0" w:rsidRDefault="00254CB0">
      <w:bookmarkStart w:id="0" w:name="_GoBack"/>
      <w:bookmarkEnd w:id="0"/>
    </w:p>
    <w:sectPr w:rsidR="00254CB0" w:rsidSect="00066A25">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B52" w:rsidRDefault="00211B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B52" w:rsidRDefault="00211BFD">
    <w:pPr>
      <w:pStyle w:val="Footer"/>
      <w:jc w:val="center"/>
      <w:rPr>
        <w:sz w:val="22"/>
      </w:rPr>
    </w:pP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w:t>
    </w:r>
    <w:r>
      <w:rPr>
        <w:rStyle w:val="PageNumber"/>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B52" w:rsidRDefault="00211BF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B52" w:rsidRDefault="00211B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B52" w:rsidRDefault="00211B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B52" w:rsidRDefault="00211B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A45D12"/>
    <w:multiLevelType w:val="hybridMultilevel"/>
    <w:tmpl w:val="2B8CE1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817C19"/>
    <w:multiLevelType w:val="multilevel"/>
    <w:tmpl w:val="9E0228D4"/>
    <w:lvl w:ilvl="0">
      <w:start w:val="1"/>
      <w:numFmt w:val="decimal"/>
      <w:lvlText w:val="%1."/>
      <w:lvlJc w:val="left"/>
      <w:pPr>
        <w:ind w:left="360" w:hanging="360"/>
      </w:pPr>
      <w:rPr>
        <w:rFonts w:hint="default"/>
        <w:b/>
        <w:sz w:val="28"/>
        <w:szCs w:val="28"/>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4C26D42"/>
    <w:multiLevelType w:val="hybridMultilevel"/>
    <w:tmpl w:val="A0C63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EC18B9"/>
    <w:multiLevelType w:val="hybridMultilevel"/>
    <w:tmpl w:val="6F86E5C4"/>
    <w:lvl w:ilvl="0" w:tplc="B8447CDC">
      <w:start w:val="1"/>
      <w:numFmt w:val="decimal"/>
      <w:lvlText w:val="%1."/>
      <w:lvlJc w:val="left"/>
      <w:pPr>
        <w:ind w:left="677" w:hanging="360"/>
      </w:pPr>
      <w:rPr>
        <w:rFonts w:ascii="Arial" w:eastAsia="Times New Roman" w:hAnsi="Arial" w:cs="Arial" w:hint="default"/>
        <w:sz w:val="28"/>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68D50047"/>
    <w:multiLevelType w:val="hybridMultilevel"/>
    <w:tmpl w:val="AFFA7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1546F9"/>
    <w:multiLevelType w:val="hybridMultilevel"/>
    <w:tmpl w:val="8FC4F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BFD"/>
    <w:rsid w:val="00211BFD"/>
    <w:rsid w:val="00254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2030A-55F7-4FB3-9E3F-A9E64E7F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BF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1BFD"/>
    <w:pPr>
      <w:tabs>
        <w:tab w:val="center" w:pos="4153"/>
        <w:tab w:val="right" w:pos="8306"/>
      </w:tabs>
    </w:pPr>
  </w:style>
  <w:style w:type="character" w:customStyle="1" w:styleId="HeaderChar">
    <w:name w:val="Header Char"/>
    <w:basedOn w:val="DefaultParagraphFont"/>
    <w:link w:val="Header"/>
    <w:rsid w:val="00211BFD"/>
    <w:rPr>
      <w:rFonts w:ascii="Arial" w:eastAsia="Times New Roman" w:hAnsi="Arial" w:cs="Times New Roman"/>
      <w:sz w:val="24"/>
      <w:szCs w:val="24"/>
    </w:rPr>
  </w:style>
  <w:style w:type="paragraph" w:styleId="Footer">
    <w:name w:val="footer"/>
    <w:basedOn w:val="Normal"/>
    <w:link w:val="FooterChar"/>
    <w:rsid w:val="00211BFD"/>
    <w:pPr>
      <w:tabs>
        <w:tab w:val="center" w:pos="4153"/>
        <w:tab w:val="right" w:pos="8306"/>
      </w:tabs>
    </w:pPr>
  </w:style>
  <w:style w:type="character" w:customStyle="1" w:styleId="FooterChar">
    <w:name w:val="Footer Char"/>
    <w:basedOn w:val="DefaultParagraphFont"/>
    <w:link w:val="Footer"/>
    <w:rsid w:val="00211BFD"/>
    <w:rPr>
      <w:rFonts w:ascii="Arial" w:eastAsia="Times New Roman" w:hAnsi="Arial" w:cs="Times New Roman"/>
      <w:sz w:val="24"/>
      <w:szCs w:val="24"/>
    </w:rPr>
  </w:style>
  <w:style w:type="character" w:styleId="PageNumber">
    <w:name w:val="page number"/>
    <w:basedOn w:val="DefaultParagraphFont"/>
    <w:rsid w:val="00211BFD"/>
  </w:style>
  <w:style w:type="character" w:styleId="Hyperlink">
    <w:name w:val="Hyperlink"/>
    <w:rsid w:val="00211BFD"/>
    <w:rPr>
      <w:color w:val="0000FF"/>
      <w:u w:val="single"/>
    </w:rPr>
  </w:style>
  <w:style w:type="paragraph" w:styleId="PlainText">
    <w:name w:val="Plain Text"/>
    <w:basedOn w:val="Normal"/>
    <w:link w:val="PlainTextChar"/>
    <w:uiPriority w:val="99"/>
    <w:rsid w:val="00211BFD"/>
    <w:rPr>
      <w:rFonts w:ascii="Courier New" w:hAnsi="Courier New" w:cs="Courier New"/>
      <w:sz w:val="20"/>
      <w:szCs w:val="20"/>
      <w:lang w:eastAsia="en-GB"/>
    </w:rPr>
  </w:style>
  <w:style w:type="character" w:customStyle="1" w:styleId="PlainTextChar">
    <w:name w:val="Plain Text Char"/>
    <w:basedOn w:val="DefaultParagraphFont"/>
    <w:link w:val="PlainText"/>
    <w:uiPriority w:val="99"/>
    <w:rsid w:val="00211BFD"/>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edback@NWLeicestershire.gov.uk" TargetMode="External"/><Relationship Id="rId11" Type="http://schemas.openxmlformats.org/officeDocument/2006/relationships/header" Target="header3.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OBRIEN</dc:creator>
  <cp:keywords/>
  <dc:description/>
  <cp:lastModifiedBy>JUSTIN OBRIEN</cp:lastModifiedBy>
  <cp:revision>1</cp:revision>
  <dcterms:created xsi:type="dcterms:W3CDTF">2018-01-23T08:52:00Z</dcterms:created>
  <dcterms:modified xsi:type="dcterms:W3CDTF">2018-01-23T08:53:00Z</dcterms:modified>
</cp:coreProperties>
</file>