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AFD" w:rsidRDefault="005E6AFD" w:rsidP="00EC645B">
      <w:pPr>
        <w:jc w:val="center"/>
        <w:rPr>
          <w:rFonts w:cs="Arial"/>
          <w:b/>
          <w:u w:val="single"/>
        </w:rPr>
      </w:pPr>
      <w:r>
        <w:rPr>
          <w:rFonts w:cs="Arial"/>
          <w:b/>
        </w:rPr>
        <w:t xml:space="preserve"> </w:t>
      </w:r>
      <w:r>
        <w:rPr>
          <w:rFonts w:cs="Arial"/>
          <w:b/>
          <w:u w:val="single"/>
        </w:rPr>
        <w:t xml:space="preserve">ASSESSMENT SUB-COMMITTEE </w:t>
      </w:r>
    </w:p>
    <w:p w:rsidR="00EC645B" w:rsidRPr="005A0466" w:rsidRDefault="00EC645B" w:rsidP="00EC645B">
      <w:pPr>
        <w:jc w:val="center"/>
        <w:rPr>
          <w:rFonts w:cs="Arial"/>
          <w:b/>
          <w:u w:val="single"/>
        </w:rPr>
      </w:pPr>
      <w:r w:rsidRPr="005A0466">
        <w:rPr>
          <w:rFonts w:cs="Arial"/>
          <w:b/>
          <w:u w:val="single"/>
        </w:rPr>
        <w:t>CRITERIA FOR ASSESSMENT OF COMPLAINTS</w:t>
      </w:r>
    </w:p>
    <w:p w:rsidR="005A0466" w:rsidRPr="005A0466" w:rsidRDefault="005A0466" w:rsidP="00EC645B">
      <w:pPr>
        <w:jc w:val="center"/>
        <w:rPr>
          <w:rFonts w:cs="Arial"/>
          <w:b/>
          <w:u w:val="single"/>
        </w:rPr>
      </w:pPr>
      <w:r w:rsidRPr="005A0466">
        <w:rPr>
          <w:rFonts w:cs="Arial"/>
          <w:b/>
          <w:u w:val="single"/>
        </w:rPr>
        <w:t>PUBLIC INTEREST TEST</w:t>
      </w:r>
    </w:p>
    <w:p w:rsidR="00EC645B" w:rsidRPr="00985CC7" w:rsidRDefault="00EC645B" w:rsidP="00EC645B">
      <w:pPr>
        <w:jc w:val="center"/>
        <w:rPr>
          <w:rFonts w:cs="Arial"/>
        </w:rPr>
      </w:pPr>
    </w:p>
    <w:p w:rsidR="00EC645B" w:rsidRPr="00985CC7" w:rsidRDefault="00EC645B" w:rsidP="00EC645B">
      <w:pPr>
        <w:jc w:val="center"/>
        <w:rPr>
          <w:rFonts w:cs="Arial"/>
        </w:rPr>
      </w:pPr>
    </w:p>
    <w:p w:rsidR="00EC645B" w:rsidRDefault="00EC645B" w:rsidP="00EC645B">
      <w:pPr>
        <w:jc w:val="both"/>
      </w:pPr>
      <w:r w:rsidRPr="00985CC7">
        <w:t xml:space="preserve">The following criteria ensure that only the most serious of </w:t>
      </w:r>
      <w:proofErr w:type="gramStart"/>
      <w:r w:rsidRPr="00985CC7">
        <w:t>cases which</w:t>
      </w:r>
      <w:proofErr w:type="gramEnd"/>
      <w:r w:rsidRPr="00985CC7">
        <w:t xml:space="preserve"> are in the public interest and appropriate should be referred for investigation or other action.  The criteria sets a high threshold for considering complaints and </w:t>
      </w:r>
      <w:proofErr w:type="gramStart"/>
      <w:r w:rsidRPr="00985CC7">
        <w:t>should be adhered</w:t>
      </w:r>
      <w:proofErr w:type="gramEnd"/>
      <w:r w:rsidRPr="00985CC7">
        <w:t xml:space="preserve"> to by the Assessment Sub-committee</w:t>
      </w:r>
      <w:r w:rsidR="00787001" w:rsidRPr="00787001">
        <w:t xml:space="preserve"> (</w:t>
      </w:r>
      <w:r w:rsidRPr="006578D8">
        <w:t>as well as the Review Sub-committee</w:t>
      </w:r>
      <w:r w:rsidR="006578D8">
        <w:t>)</w:t>
      </w:r>
      <w:r w:rsidRPr="006578D8">
        <w:t>.</w:t>
      </w:r>
    </w:p>
    <w:p w:rsidR="006578D8" w:rsidRPr="00985CC7" w:rsidRDefault="006578D8" w:rsidP="00EC645B">
      <w:pPr>
        <w:jc w:val="both"/>
      </w:pPr>
    </w:p>
    <w:p w:rsidR="00EC645B" w:rsidRPr="00985CC7" w:rsidRDefault="00EC645B" w:rsidP="00EC645B">
      <w:pPr>
        <w:jc w:val="both"/>
      </w:pPr>
      <w:r w:rsidRPr="00985CC7">
        <w:t xml:space="preserve">The following initial tests </w:t>
      </w:r>
      <w:proofErr w:type="gramStart"/>
      <w:r w:rsidRPr="00985CC7">
        <w:t>must be met</w:t>
      </w:r>
      <w:proofErr w:type="gramEnd"/>
      <w:r w:rsidRPr="00985CC7">
        <w:t>:</w:t>
      </w:r>
    </w:p>
    <w:p w:rsidR="00EC645B" w:rsidRPr="00985CC7" w:rsidRDefault="00EC645B" w:rsidP="00EC645B">
      <w:pPr>
        <w:jc w:val="both"/>
      </w:pPr>
    </w:p>
    <w:p w:rsidR="00EC645B" w:rsidRPr="00787001" w:rsidRDefault="005E6AFD" w:rsidP="00EC645B">
      <w:pPr>
        <w:numPr>
          <w:ilvl w:val="0"/>
          <w:numId w:val="1"/>
        </w:numPr>
        <w:tabs>
          <w:tab w:val="clear" w:pos="2517"/>
        </w:tabs>
        <w:ind w:left="360" w:hanging="360"/>
        <w:jc w:val="both"/>
        <w:rPr>
          <w:strike/>
        </w:rPr>
      </w:pPr>
      <w:r w:rsidRPr="00787001">
        <w:t xml:space="preserve">Does the complaint relate to a member within the NWLDC area in office at the time of the conduct complained </w:t>
      </w:r>
      <w:proofErr w:type="gramStart"/>
      <w:r w:rsidRPr="00787001">
        <w:t>of.</w:t>
      </w:r>
      <w:proofErr w:type="gramEnd"/>
      <w:r w:rsidRPr="00787001">
        <w:tab/>
      </w:r>
      <w:r w:rsidR="00EC645B" w:rsidRPr="00787001">
        <w:rPr>
          <w:strike/>
        </w:rPr>
        <w:br/>
      </w:r>
    </w:p>
    <w:p w:rsidR="00EC645B" w:rsidRPr="00787001" w:rsidRDefault="005E6AFD" w:rsidP="00EC645B">
      <w:pPr>
        <w:numPr>
          <w:ilvl w:val="0"/>
          <w:numId w:val="1"/>
        </w:numPr>
        <w:tabs>
          <w:tab w:val="clear" w:pos="2517"/>
        </w:tabs>
        <w:ind w:left="360" w:hanging="360"/>
        <w:jc w:val="both"/>
        <w:rPr>
          <w:strike/>
        </w:rPr>
      </w:pPr>
      <w:r w:rsidRPr="00787001">
        <w:t xml:space="preserve">Was the member acting in their capacity as a councillor at the time of the conduct complained </w:t>
      </w:r>
      <w:proofErr w:type="gramStart"/>
      <w:r w:rsidRPr="00787001">
        <w:t>of.</w:t>
      </w:r>
      <w:proofErr w:type="gramEnd"/>
      <w:r w:rsidRPr="00787001">
        <w:tab/>
      </w:r>
      <w:r w:rsidR="00EC645B" w:rsidRPr="00787001">
        <w:rPr>
          <w:strike/>
        </w:rPr>
        <w:br/>
      </w:r>
    </w:p>
    <w:p w:rsidR="00EC645B" w:rsidRPr="00787001" w:rsidRDefault="00EC645B" w:rsidP="00EC645B">
      <w:pPr>
        <w:numPr>
          <w:ilvl w:val="0"/>
          <w:numId w:val="1"/>
        </w:numPr>
        <w:tabs>
          <w:tab w:val="clear" w:pos="2517"/>
        </w:tabs>
        <w:ind w:left="360" w:hanging="360"/>
        <w:jc w:val="both"/>
      </w:pPr>
      <w:r w:rsidRPr="00787001">
        <w:t>The complaint, if proven, would be a breach of the Code under which the member was operating at the time of the alleged misconduct.</w:t>
      </w:r>
      <w:r w:rsidR="005E6AFD" w:rsidRPr="00787001">
        <w:t xml:space="preserve"> (The relevant District or Parish / Town Council Code)</w:t>
      </w:r>
    </w:p>
    <w:p w:rsidR="00EC645B" w:rsidRPr="00787001" w:rsidRDefault="00EC645B" w:rsidP="00EC645B">
      <w:pPr>
        <w:jc w:val="both"/>
      </w:pPr>
    </w:p>
    <w:p w:rsidR="00EC645B" w:rsidRPr="005E6AFD" w:rsidRDefault="00EC645B" w:rsidP="00EC645B">
      <w:pPr>
        <w:jc w:val="both"/>
        <w:rPr>
          <w:u w:val="single"/>
        </w:rPr>
      </w:pPr>
      <w:r w:rsidRPr="00985CC7">
        <w:t xml:space="preserve">The Monitoring Officer </w:t>
      </w:r>
      <w:r w:rsidR="005E6AFD" w:rsidRPr="00787001">
        <w:t>will</w:t>
      </w:r>
      <w:r w:rsidRPr="00985CC7">
        <w:t xml:space="preserve"> provide the Committee with</w:t>
      </w:r>
      <w:r w:rsidRPr="005E6AFD">
        <w:rPr>
          <w:strike/>
        </w:rPr>
        <w:t>in</w:t>
      </w:r>
      <w:r w:rsidRPr="00985CC7">
        <w:t xml:space="preserve"> relevant in</w:t>
      </w:r>
      <w:r>
        <w:t xml:space="preserve">formation concerning this issue as part of </w:t>
      </w:r>
      <w:r w:rsidR="005E6AFD" w:rsidRPr="00787001">
        <w:t>the report to the Assessment Sub-Committee</w:t>
      </w:r>
      <w:r w:rsidR="00787001">
        <w:t>.</w:t>
      </w:r>
    </w:p>
    <w:p w:rsidR="00EC645B" w:rsidRDefault="00EC645B" w:rsidP="00EC645B">
      <w:pPr>
        <w:jc w:val="both"/>
      </w:pPr>
    </w:p>
    <w:p w:rsidR="00EC645B" w:rsidRPr="00985CC7" w:rsidRDefault="00EC645B" w:rsidP="00EC645B">
      <w:pPr>
        <w:jc w:val="both"/>
      </w:pPr>
      <w:r w:rsidRPr="00985CC7">
        <w:t xml:space="preserve">If the complaint fails one or more of these tests it </w:t>
      </w:r>
      <w:proofErr w:type="gramStart"/>
      <w:r w:rsidRPr="00985CC7">
        <w:t>cannot be investigated</w:t>
      </w:r>
      <w:proofErr w:type="gramEnd"/>
      <w:r w:rsidRPr="00985CC7">
        <w:t xml:space="preserve"> as a breach of the Code, and the complainant must be informed that no further action will be taken in respect of the complaint.</w:t>
      </w:r>
    </w:p>
    <w:p w:rsidR="00EC645B" w:rsidRPr="00985CC7" w:rsidRDefault="00EC645B" w:rsidP="00EC645B">
      <w:pPr>
        <w:jc w:val="both"/>
      </w:pPr>
    </w:p>
    <w:p w:rsidR="00EC645B" w:rsidRPr="00787001" w:rsidRDefault="00EC645B" w:rsidP="00EC645B">
      <w:pPr>
        <w:jc w:val="both"/>
      </w:pPr>
      <w:r w:rsidRPr="00985CC7">
        <w:t xml:space="preserve">If the complaint </w:t>
      </w:r>
      <w:r w:rsidRPr="00787001">
        <w:t>meets all of these tests</w:t>
      </w:r>
      <w:r w:rsidR="00787001">
        <w:t>,</w:t>
      </w:r>
      <w:r w:rsidRPr="00787001">
        <w:t xml:space="preserve"> </w:t>
      </w:r>
      <w:r w:rsidR="005E6AFD" w:rsidRPr="00787001">
        <w:t xml:space="preserve">the Monitoring Officer will attempt to resolve the complaint by Informal Resolution. If, for whatever reason, the informal resolution process is not successful, the Monitoring Officer will refer the complaint to the Assessment Sub-Committee. The Assessment Sub-Committee </w:t>
      </w:r>
      <w:proofErr w:type="gramStart"/>
      <w:r w:rsidR="005E6AFD" w:rsidRPr="00787001">
        <w:t>will be asked</w:t>
      </w:r>
      <w:proofErr w:type="gramEnd"/>
      <w:r w:rsidR="005E6AFD" w:rsidRPr="00787001">
        <w:t xml:space="preserve"> to decide whether to take further action on the complaint. In making that </w:t>
      </w:r>
      <w:proofErr w:type="gramStart"/>
      <w:r w:rsidR="005E6AFD" w:rsidRPr="00787001">
        <w:t>decision</w:t>
      </w:r>
      <w:proofErr w:type="gramEnd"/>
      <w:r w:rsidR="005E6AFD" w:rsidRPr="00787001">
        <w:t xml:space="preserve"> the Assessment Sub-Committee should consider the following criteria and checklist to decide whether it is in the public interest to take further action:</w:t>
      </w:r>
    </w:p>
    <w:p w:rsidR="004C7D1E" w:rsidRPr="00787001" w:rsidRDefault="004C7D1E" w:rsidP="00EC645B">
      <w:pPr>
        <w:jc w:val="both"/>
      </w:pPr>
    </w:p>
    <w:p w:rsidR="005A0466" w:rsidRPr="00787001" w:rsidRDefault="005A0466" w:rsidP="00EC645B">
      <w:pPr>
        <w:jc w:val="both"/>
      </w:pPr>
      <w:r w:rsidRPr="00787001">
        <w:t xml:space="preserve">Considering the public interest test means looking at all the relevant information in the round and deciding whether it is reasonable and proportionate to take further action on the complaint.  </w:t>
      </w:r>
    </w:p>
    <w:p w:rsidR="006578D8" w:rsidRDefault="006578D8" w:rsidP="00EC645B">
      <w:pPr>
        <w:jc w:val="both"/>
        <w:rPr>
          <w:u w:val="single"/>
        </w:rPr>
      </w:pPr>
    </w:p>
    <w:p w:rsidR="006578D8" w:rsidRPr="00787001" w:rsidRDefault="006578D8" w:rsidP="00787001">
      <w:pPr>
        <w:pStyle w:val="paragraph"/>
        <w:spacing w:before="0" w:beforeAutospacing="0" w:after="0" w:afterAutospacing="0"/>
        <w:jc w:val="both"/>
        <w:textAlignment w:val="baseline"/>
        <w:rPr>
          <w:rFonts w:ascii="Arial" w:hAnsi="Arial" w:cs="Arial"/>
          <w:sz w:val="22"/>
        </w:rPr>
      </w:pPr>
      <w:r w:rsidRPr="00787001">
        <w:rPr>
          <w:rStyle w:val="normaltextrun"/>
          <w:rFonts w:ascii="Arial" w:hAnsi="Arial" w:cs="Arial"/>
          <w:color w:val="000000"/>
          <w:sz w:val="22"/>
        </w:rPr>
        <w:t>There is no widely accepted definition of the public int</w:t>
      </w:r>
      <w:r w:rsidR="00787001" w:rsidRPr="00787001">
        <w:rPr>
          <w:rStyle w:val="normaltextrun"/>
          <w:rFonts w:ascii="Arial" w:hAnsi="Arial" w:cs="Arial"/>
          <w:color w:val="000000"/>
          <w:sz w:val="22"/>
        </w:rPr>
        <w:t xml:space="preserve">erest but has been described as </w:t>
      </w:r>
      <w:r w:rsidRPr="00787001">
        <w:rPr>
          <w:rStyle w:val="normaltextrun"/>
          <w:rFonts w:ascii="Arial" w:hAnsi="Arial" w:cs="Arial"/>
          <w:color w:val="000000"/>
          <w:sz w:val="22"/>
        </w:rPr>
        <w:t>“</w:t>
      </w:r>
      <w:r w:rsidRPr="00787001">
        <w:rPr>
          <w:rStyle w:val="normaltextrun"/>
          <w:rFonts w:ascii="Arial" w:hAnsi="Arial" w:cs="Arial"/>
          <w:i/>
          <w:iCs/>
          <w:color w:val="000000"/>
          <w:sz w:val="22"/>
        </w:rPr>
        <w:t>something which is of serious concern and benefit to the public</w:t>
      </w:r>
      <w:r w:rsidRPr="00787001">
        <w:rPr>
          <w:rStyle w:val="normaltextrun"/>
          <w:rFonts w:ascii="Arial" w:hAnsi="Arial" w:cs="Arial"/>
          <w:color w:val="000000"/>
          <w:sz w:val="22"/>
        </w:rPr>
        <w:t xml:space="preserve">”.  In this context, the public interest test requires a public authority to weigh the harm that </w:t>
      </w:r>
      <w:proofErr w:type="gramStart"/>
      <w:r w:rsidRPr="00787001">
        <w:rPr>
          <w:rStyle w:val="normaltextrun"/>
          <w:rFonts w:ascii="Arial" w:hAnsi="Arial" w:cs="Arial"/>
          <w:color w:val="000000"/>
          <w:sz w:val="22"/>
        </w:rPr>
        <w:t>would be caused</w:t>
      </w:r>
      <w:proofErr w:type="gramEnd"/>
      <w:r w:rsidRPr="00787001">
        <w:rPr>
          <w:rStyle w:val="normaltextrun"/>
          <w:rFonts w:ascii="Arial" w:hAnsi="Arial" w:cs="Arial"/>
          <w:color w:val="000000"/>
          <w:sz w:val="22"/>
        </w:rPr>
        <w:t xml:space="preserve"> by not investigating a complaint against the public interest served by carrying out an investigation.  The public interest therefore relates to </w:t>
      </w:r>
      <w:proofErr w:type="gramStart"/>
      <w:r w:rsidRPr="00787001">
        <w:rPr>
          <w:rStyle w:val="normaltextrun"/>
          <w:rFonts w:ascii="Arial" w:hAnsi="Arial" w:cs="Arial"/>
          <w:color w:val="000000"/>
          <w:sz w:val="22"/>
        </w:rPr>
        <w:t>something which has an impact on the public</w:t>
      </w:r>
      <w:proofErr w:type="gramEnd"/>
      <w:r w:rsidRPr="00787001">
        <w:rPr>
          <w:rStyle w:val="normaltextrun"/>
          <w:rFonts w:ascii="Arial" w:hAnsi="Arial" w:cs="Arial"/>
          <w:color w:val="000000"/>
          <w:sz w:val="22"/>
        </w:rPr>
        <w:t> and it is not merely a matter that the public find to be of interest or a matter that impacts solely on an individual (although an individual may be more directly impacted by the matter than the wider public).</w:t>
      </w:r>
      <w:r w:rsidRPr="00787001">
        <w:rPr>
          <w:rStyle w:val="eop"/>
          <w:rFonts w:ascii="Arial" w:hAnsi="Arial" w:cs="Arial"/>
          <w:color w:val="000000"/>
          <w:sz w:val="22"/>
        </w:rPr>
        <w:t> </w:t>
      </w:r>
    </w:p>
    <w:p w:rsidR="006578D8" w:rsidRPr="006578D8" w:rsidRDefault="006578D8" w:rsidP="006578D8">
      <w:pPr>
        <w:pStyle w:val="paragraph"/>
        <w:spacing w:before="0" w:beforeAutospacing="0" w:after="0" w:afterAutospacing="0"/>
        <w:ind w:left="720" w:hanging="720"/>
        <w:jc w:val="both"/>
        <w:textAlignment w:val="baseline"/>
        <w:rPr>
          <w:rFonts w:ascii="Arial" w:hAnsi="Arial" w:cs="Arial"/>
        </w:rPr>
      </w:pPr>
      <w:r w:rsidRPr="006578D8">
        <w:rPr>
          <w:rStyle w:val="eop"/>
          <w:rFonts w:ascii="Arial" w:hAnsi="Arial" w:cs="Arial"/>
        </w:rPr>
        <w:t> </w:t>
      </w:r>
    </w:p>
    <w:p w:rsidR="006578D8" w:rsidRPr="00787001" w:rsidRDefault="006578D8" w:rsidP="00787001">
      <w:pPr>
        <w:pStyle w:val="paragraph"/>
        <w:spacing w:before="0" w:beforeAutospacing="0" w:after="0" w:afterAutospacing="0"/>
        <w:jc w:val="both"/>
        <w:textAlignment w:val="baseline"/>
        <w:rPr>
          <w:rFonts w:ascii="Arial" w:hAnsi="Arial" w:cs="Arial"/>
          <w:sz w:val="22"/>
        </w:rPr>
      </w:pPr>
      <w:r w:rsidRPr="00787001">
        <w:rPr>
          <w:rStyle w:val="normaltextrun"/>
          <w:rFonts w:ascii="Arial" w:hAnsi="Arial" w:cs="Arial"/>
          <w:sz w:val="22"/>
        </w:rPr>
        <w:t xml:space="preserve">Examples of </w:t>
      </w:r>
      <w:proofErr w:type="gramStart"/>
      <w:r w:rsidRPr="00787001">
        <w:rPr>
          <w:rStyle w:val="normaltextrun"/>
          <w:rFonts w:ascii="Arial" w:hAnsi="Arial" w:cs="Arial"/>
          <w:sz w:val="22"/>
        </w:rPr>
        <w:t>factors which</w:t>
      </w:r>
      <w:proofErr w:type="gramEnd"/>
      <w:r w:rsidRPr="00787001">
        <w:rPr>
          <w:rStyle w:val="normaltextrun"/>
          <w:rFonts w:ascii="Arial" w:hAnsi="Arial" w:cs="Arial"/>
          <w:sz w:val="22"/>
        </w:rPr>
        <w:t xml:space="preserve"> would tend to indicate there is not a public interest in investigating a complaint are:</w:t>
      </w:r>
      <w:r w:rsidRPr="00787001">
        <w:rPr>
          <w:rStyle w:val="eop"/>
          <w:rFonts w:ascii="Arial" w:hAnsi="Arial" w:cs="Arial"/>
          <w:sz w:val="22"/>
        </w:rPr>
        <w:t> </w:t>
      </w:r>
      <w:r w:rsidR="00787001">
        <w:rPr>
          <w:rStyle w:val="eop"/>
          <w:rFonts w:ascii="Arial" w:hAnsi="Arial" w:cs="Arial"/>
          <w:sz w:val="22"/>
        </w:rPr>
        <w:tab/>
      </w:r>
      <w:r w:rsidR="00787001">
        <w:rPr>
          <w:rStyle w:val="eop"/>
          <w:rFonts w:ascii="Arial" w:hAnsi="Arial" w:cs="Arial"/>
          <w:sz w:val="22"/>
        </w:rPr>
        <w:br/>
      </w:r>
    </w:p>
    <w:p w:rsidR="006578D8" w:rsidRPr="00787001" w:rsidRDefault="006578D8" w:rsidP="00787001">
      <w:pPr>
        <w:pStyle w:val="paragraph"/>
        <w:numPr>
          <w:ilvl w:val="0"/>
          <w:numId w:val="5"/>
        </w:numPr>
        <w:spacing w:before="0" w:beforeAutospacing="0" w:after="0" w:afterAutospacing="0"/>
        <w:ind w:hanging="294"/>
        <w:jc w:val="both"/>
        <w:textAlignment w:val="baseline"/>
        <w:rPr>
          <w:rFonts w:ascii="Arial" w:hAnsi="Arial" w:cs="Arial"/>
          <w:sz w:val="22"/>
        </w:rPr>
      </w:pPr>
      <w:r w:rsidRPr="00787001">
        <w:rPr>
          <w:rStyle w:val="normaltextrun"/>
          <w:rFonts w:ascii="Arial" w:hAnsi="Arial" w:cs="Arial"/>
          <w:sz w:val="22"/>
        </w:rPr>
        <w:t>If the complaint is vexatious;</w:t>
      </w:r>
      <w:r w:rsidRPr="00787001">
        <w:rPr>
          <w:rStyle w:val="eop"/>
          <w:rFonts w:ascii="Arial" w:hAnsi="Arial" w:cs="Arial"/>
          <w:sz w:val="22"/>
        </w:rPr>
        <w:t> </w:t>
      </w:r>
    </w:p>
    <w:p w:rsidR="006578D8" w:rsidRPr="00787001" w:rsidRDefault="006578D8" w:rsidP="00787001">
      <w:pPr>
        <w:pStyle w:val="paragraph"/>
        <w:numPr>
          <w:ilvl w:val="0"/>
          <w:numId w:val="5"/>
        </w:numPr>
        <w:spacing w:before="0" w:beforeAutospacing="0" w:after="0" w:afterAutospacing="0"/>
        <w:ind w:hanging="294"/>
        <w:jc w:val="both"/>
        <w:textAlignment w:val="baseline"/>
        <w:rPr>
          <w:rFonts w:ascii="Arial" w:hAnsi="Arial" w:cs="Arial"/>
          <w:sz w:val="22"/>
        </w:rPr>
      </w:pPr>
      <w:r w:rsidRPr="00787001">
        <w:rPr>
          <w:rStyle w:val="normaltextrun"/>
          <w:rFonts w:ascii="Arial" w:hAnsi="Arial" w:cs="Arial"/>
          <w:sz w:val="22"/>
        </w:rPr>
        <w:t>Repetitive complaints; and </w:t>
      </w:r>
      <w:r w:rsidRPr="00787001">
        <w:rPr>
          <w:rStyle w:val="eop"/>
          <w:rFonts w:ascii="Arial" w:hAnsi="Arial" w:cs="Arial"/>
          <w:sz w:val="22"/>
        </w:rPr>
        <w:t> </w:t>
      </w:r>
    </w:p>
    <w:p w:rsidR="006578D8" w:rsidRPr="00787001" w:rsidRDefault="006578D8" w:rsidP="00787001">
      <w:pPr>
        <w:pStyle w:val="paragraph"/>
        <w:numPr>
          <w:ilvl w:val="0"/>
          <w:numId w:val="5"/>
        </w:numPr>
        <w:spacing w:before="0" w:beforeAutospacing="0" w:after="0" w:afterAutospacing="0"/>
        <w:ind w:hanging="294"/>
        <w:jc w:val="both"/>
        <w:textAlignment w:val="baseline"/>
        <w:rPr>
          <w:rFonts w:ascii="Arial" w:hAnsi="Arial" w:cs="Arial"/>
          <w:sz w:val="22"/>
        </w:rPr>
      </w:pPr>
      <w:r w:rsidRPr="00787001">
        <w:rPr>
          <w:rStyle w:val="normaltextrun"/>
          <w:rFonts w:ascii="Arial" w:hAnsi="Arial" w:cs="Arial"/>
          <w:sz w:val="22"/>
        </w:rPr>
        <w:t>Complaints about trivial matters.</w:t>
      </w:r>
      <w:r w:rsidRPr="00787001">
        <w:rPr>
          <w:rStyle w:val="eop"/>
          <w:rFonts w:ascii="Arial" w:hAnsi="Arial" w:cs="Arial"/>
          <w:sz w:val="22"/>
        </w:rPr>
        <w:t> </w:t>
      </w:r>
    </w:p>
    <w:p w:rsidR="006578D8" w:rsidRPr="006578D8" w:rsidRDefault="006578D8" w:rsidP="006578D8">
      <w:pPr>
        <w:pStyle w:val="paragraph"/>
        <w:spacing w:before="0" w:beforeAutospacing="0" w:after="0" w:afterAutospacing="0"/>
        <w:ind w:left="720" w:hanging="720"/>
        <w:jc w:val="both"/>
        <w:textAlignment w:val="baseline"/>
        <w:rPr>
          <w:rFonts w:ascii="Arial" w:hAnsi="Arial" w:cs="Arial"/>
        </w:rPr>
      </w:pPr>
      <w:r w:rsidRPr="006578D8">
        <w:rPr>
          <w:rStyle w:val="eop"/>
          <w:rFonts w:ascii="Arial" w:hAnsi="Arial" w:cs="Arial"/>
        </w:rPr>
        <w:t> </w:t>
      </w:r>
    </w:p>
    <w:p w:rsidR="006578D8" w:rsidRPr="00787001" w:rsidRDefault="006578D8" w:rsidP="00787001">
      <w:pPr>
        <w:pStyle w:val="paragraph"/>
        <w:spacing w:before="0" w:beforeAutospacing="0" w:after="0" w:afterAutospacing="0"/>
        <w:jc w:val="both"/>
        <w:textAlignment w:val="baseline"/>
        <w:rPr>
          <w:rFonts w:ascii="Arial" w:hAnsi="Arial" w:cs="Arial"/>
          <w:sz w:val="22"/>
        </w:rPr>
      </w:pPr>
      <w:proofErr w:type="gramStart"/>
      <w:r w:rsidRPr="00787001">
        <w:rPr>
          <w:rStyle w:val="normaltextrun"/>
          <w:rFonts w:ascii="Arial" w:hAnsi="Arial" w:cs="Arial"/>
          <w:sz w:val="22"/>
        </w:rPr>
        <w:t>Factors which</w:t>
      </w:r>
      <w:proofErr w:type="gramEnd"/>
      <w:r w:rsidRPr="00787001">
        <w:rPr>
          <w:rStyle w:val="normaltextrun"/>
          <w:rFonts w:ascii="Arial" w:hAnsi="Arial" w:cs="Arial"/>
          <w:sz w:val="22"/>
        </w:rPr>
        <w:t xml:space="preserve"> would tend to indicate there is a public interest in proceeding with an investigation are:</w:t>
      </w:r>
      <w:r w:rsidRPr="00787001">
        <w:rPr>
          <w:rStyle w:val="eop"/>
          <w:rFonts w:ascii="Arial" w:hAnsi="Arial" w:cs="Arial"/>
          <w:sz w:val="22"/>
        </w:rPr>
        <w:t> </w:t>
      </w:r>
    </w:p>
    <w:p w:rsidR="006578D8" w:rsidRPr="00787001" w:rsidRDefault="006578D8" w:rsidP="006578D8">
      <w:pPr>
        <w:pStyle w:val="paragraph"/>
        <w:spacing w:before="0" w:beforeAutospacing="0" w:after="0" w:afterAutospacing="0"/>
        <w:ind w:left="720" w:hanging="720"/>
        <w:jc w:val="both"/>
        <w:textAlignment w:val="baseline"/>
        <w:rPr>
          <w:rFonts w:ascii="Arial" w:hAnsi="Arial" w:cs="Arial"/>
          <w:sz w:val="22"/>
        </w:rPr>
      </w:pPr>
      <w:r w:rsidRPr="00787001">
        <w:rPr>
          <w:rStyle w:val="eop"/>
          <w:rFonts w:ascii="Arial" w:hAnsi="Arial" w:cs="Arial"/>
          <w:sz w:val="22"/>
        </w:rPr>
        <w:t> </w:t>
      </w:r>
    </w:p>
    <w:p w:rsidR="006578D8" w:rsidRPr="00787001" w:rsidRDefault="006578D8" w:rsidP="00787001">
      <w:pPr>
        <w:pStyle w:val="paragraph"/>
        <w:numPr>
          <w:ilvl w:val="0"/>
          <w:numId w:val="6"/>
        </w:numPr>
        <w:spacing w:before="0" w:beforeAutospacing="0" w:after="0" w:afterAutospacing="0"/>
        <w:ind w:hanging="294"/>
        <w:jc w:val="both"/>
        <w:textAlignment w:val="baseline"/>
        <w:rPr>
          <w:rFonts w:ascii="Arial" w:hAnsi="Arial" w:cs="Arial"/>
          <w:sz w:val="22"/>
        </w:rPr>
      </w:pPr>
      <w:r w:rsidRPr="00787001">
        <w:rPr>
          <w:rStyle w:val="normaltextrun"/>
          <w:rFonts w:ascii="Arial" w:hAnsi="Arial" w:cs="Arial"/>
          <w:sz w:val="22"/>
        </w:rPr>
        <w:t>The complaint relates to a matter which affects a significant part of the district; and</w:t>
      </w:r>
      <w:r w:rsidRPr="00787001">
        <w:rPr>
          <w:rStyle w:val="eop"/>
          <w:rFonts w:ascii="Arial" w:hAnsi="Arial" w:cs="Arial"/>
          <w:sz w:val="22"/>
        </w:rPr>
        <w:t> </w:t>
      </w:r>
    </w:p>
    <w:p w:rsidR="006578D8" w:rsidRPr="00787001" w:rsidRDefault="006578D8" w:rsidP="00787001">
      <w:pPr>
        <w:pStyle w:val="paragraph"/>
        <w:numPr>
          <w:ilvl w:val="0"/>
          <w:numId w:val="6"/>
        </w:numPr>
        <w:spacing w:before="0" w:beforeAutospacing="0" w:after="0" w:afterAutospacing="0"/>
        <w:ind w:hanging="294"/>
        <w:jc w:val="both"/>
        <w:textAlignment w:val="baseline"/>
        <w:rPr>
          <w:rFonts w:ascii="Arial" w:hAnsi="Arial" w:cs="Arial"/>
          <w:sz w:val="22"/>
        </w:rPr>
      </w:pPr>
      <w:r w:rsidRPr="00787001">
        <w:rPr>
          <w:rStyle w:val="normaltextrun"/>
          <w:rFonts w:ascii="Arial" w:hAnsi="Arial" w:cs="Arial"/>
          <w:sz w:val="22"/>
        </w:rPr>
        <w:t>Complaints about serious misconduct.</w:t>
      </w:r>
      <w:r w:rsidRPr="00787001">
        <w:rPr>
          <w:rStyle w:val="eop"/>
          <w:rFonts w:ascii="Arial" w:hAnsi="Arial" w:cs="Arial"/>
          <w:sz w:val="22"/>
        </w:rPr>
        <w:t> </w:t>
      </w:r>
    </w:p>
    <w:p w:rsidR="006578D8" w:rsidRPr="00787001" w:rsidRDefault="006578D8" w:rsidP="006578D8">
      <w:pPr>
        <w:pStyle w:val="paragraph"/>
        <w:spacing w:before="0" w:beforeAutospacing="0" w:after="0" w:afterAutospacing="0"/>
        <w:ind w:left="720" w:hanging="720"/>
        <w:jc w:val="both"/>
        <w:textAlignment w:val="baseline"/>
        <w:rPr>
          <w:rFonts w:ascii="Arial" w:hAnsi="Arial" w:cs="Arial"/>
          <w:sz w:val="22"/>
        </w:rPr>
      </w:pPr>
      <w:r w:rsidRPr="00787001">
        <w:rPr>
          <w:rStyle w:val="eop"/>
          <w:rFonts w:ascii="Arial" w:hAnsi="Arial" w:cs="Arial"/>
          <w:sz w:val="22"/>
        </w:rPr>
        <w:t> </w:t>
      </w:r>
    </w:p>
    <w:p w:rsidR="006578D8" w:rsidRPr="00787001" w:rsidRDefault="006578D8" w:rsidP="006578D8">
      <w:pPr>
        <w:pStyle w:val="paragraph"/>
        <w:spacing w:before="0" w:beforeAutospacing="0" w:after="0" w:afterAutospacing="0"/>
        <w:ind w:left="720" w:hanging="720"/>
        <w:jc w:val="both"/>
        <w:textAlignment w:val="baseline"/>
        <w:rPr>
          <w:rFonts w:ascii="Arial" w:hAnsi="Arial" w:cs="Arial"/>
          <w:sz w:val="22"/>
          <w:szCs w:val="22"/>
        </w:rPr>
      </w:pPr>
      <w:r w:rsidRPr="00787001">
        <w:rPr>
          <w:rStyle w:val="normaltextrun"/>
          <w:rFonts w:ascii="Arial" w:hAnsi="Arial" w:cs="Arial"/>
          <w:sz w:val="22"/>
          <w:szCs w:val="22"/>
        </w:rPr>
        <w:t>These criteria in are not exhaustive and not all are relevant in each case.</w:t>
      </w:r>
    </w:p>
    <w:p w:rsidR="005A0466" w:rsidRPr="00787001" w:rsidRDefault="005A0466" w:rsidP="00EC645B">
      <w:pPr>
        <w:jc w:val="both"/>
        <w:rPr>
          <w:u w:val="single"/>
        </w:rPr>
      </w:pPr>
    </w:p>
    <w:p w:rsidR="005A0466" w:rsidRPr="00787001" w:rsidRDefault="00EC645B" w:rsidP="00EC645B">
      <w:pPr>
        <w:numPr>
          <w:ilvl w:val="0"/>
          <w:numId w:val="2"/>
        </w:numPr>
        <w:tabs>
          <w:tab w:val="clear" w:pos="2517"/>
        </w:tabs>
        <w:ind w:left="360" w:hanging="360"/>
        <w:jc w:val="both"/>
      </w:pPr>
      <w:r w:rsidRPr="00787001">
        <w:t xml:space="preserve">Is there </w:t>
      </w:r>
      <w:r w:rsidRPr="00787001">
        <w:rPr>
          <w:b/>
        </w:rPr>
        <w:t>enough information</w:t>
      </w:r>
      <w:r w:rsidRPr="00787001">
        <w:t xml:space="preserve"> to satisfy the Sub-committee that the complaint </w:t>
      </w:r>
      <w:proofErr w:type="gramStart"/>
      <w:r w:rsidRPr="00787001">
        <w:t>should be referred</w:t>
      </w:r>
      <w:proofErr w:type="gramEnd"/>
      <w:r w:rsidRPr="00787001">
        <w:t xml:space="preserve"> for investigation or other action?  If there is insufficient information, the decision of the Assessment Sub-committee should be to take no further action and inform the complainant that if they wish to provide further information, it </w:t>
      </w:r>
      <w:proofErr w:type="gramStart"/>
      <w:r w:rsidRPr="00787001">
        <w:t>will be considered</w:t>
      </w:r>
      <w:proofErr w:type="gramEnd"/>
      <w:r w:rsidRPr="00787001">
        <w:t xml:space="preserve"> afresh.</w:t>
      </w:r>
      <w:r w:rsidR="005A0466" w:rsidRPr="00787001">
        <w:t xml:space="preserve"> This includes:</w:t>
      </w:r>
      <w:r w:rsidR="00787001">
        <w:tab/>
      </w:r>
      <w:r w:rsidR="00787001">
        <w:br/>
      </w:r>
    </w:p>
    <w:p w:rsidR="005A0466" w:rsidRDefault="005A0466" w:rsidP="00787001">
      <w:pPr>
        <w:numPr>
          <w:ilvl w:val="0"/>
          <w:numId w:val="2"/>
        </w:numPr>
        <w:tabs>
          <w:tab w:val="clear" w:pos="2517"/>
          <w:tab w:val="num" w:pos="709"/>
        </w:tabs>
        <w:ind w:hanging="2091"/>
        <w:jc w:val="both"/>
      </w:pPr>
      <w:r>
        <w:t>Contact details for the complainant</w:t>
      </w:r>
    </w:p>
    <w:p w:rsidR="00EC645B" w:rsidRPr="00787001" w:rsidRDefault="005A0466" w:rsidP="00787001">
      <w:pPr>
        <w:numPr>
          <w:ilvl w:val="0"/>
          <w:numId w:val="2"/>
        </w:numPr>
        <w:tabs>
          <w:tab w:val="clear" w:pos="2517"/>
          <w:tab w:val="num" w:pos="709"/>
        </w:tabs>
        <w:ind w:left="709" w:hanging="283"/>
        <w:jc w:val="both"/>
      </w:pPr>
      <w:r>
        <w:t>Specifics about the conduct complained of – dates and times (where possible) and any potential witnesses</w:t>
      </w:r>
      <w:r w:rsidR="00787001">
        <w:tab/>
      </w:r>
      <w:r w:rsidR="00EC645B" w:rsidRPr="00787001">
        <w:rPr>
          <w:strike/>
        </w:rPr>
        <w:br/>
      </w:r>
    </w:p>
    <w:p w:rsidR="00EC645B" w:rsidRPr="00985CC7" w:rsidRDefault="00EC645B" w:rsidP="00EC645B">
      <w:pPr>
        <w:numPr>
          <w:ilvl w:val="0"/>
          <w:numId w:val="2"/>
        </w:numPr>
        <w:tabs>
          <w:tab w:val="clear" w:pos="2517"/>
        </w:tabs>
        <w:ind w:left="360" w:hanging="360"/>
        <w:jc w:val="both"/>
      </w:pPr>
      <w:r w:rsidRPr="00985CC7">
        <w:t xml:space="preserve">Has the complaint </w:t>
      </w:r>
      <w:r w:rsidRPr="00985CC7">
        <w:rPr>
          <w:b/>
        </w:rPr>
        <w:t>already been the subject of an investigation</w:t>
      </w:r>
      <w:r w:rsidRPr="00985CC7">
        <w:t xml:space="preserve"> or other action relating to the Code of Conduct?  Similarly, has the complaint been the subject of an investigation by other regulatory authorities?  Is there anything to gain by a further investigation?</w:t>
      </w:r>
      <w:r w:rsidRPr="00985CC7">
        <w:br/>
      </w:r>
    </w:p>
    <w:p w:rsidR="00EC645B" w:rsidRPr="00985CC7" w:rsidRDefault="00EC645B" w:rsidP="00EC645B">
      <w:pPr>
        <w:numPr>
          <w:ilvl w:val="0"/>
          <w:numId w:val="2"/>
        </w:numPr>
        <w:tabs>
          <w:tab w:val="clear" w:pos="2517"/>
        </w:tabs>
        <w:ind w:left="360" w:hanging="360"/>
        <w:jc w:val="both"/>
      </w:pPr>
      <w:r w:rsidRPr="00985CC7">
        <w:t xml:space="preserve">Is the complaint about something that </w:t>
      </w:r>
      <w:r w:rsidRPr="00985CC7">
        <w:rPr>
          <w:b/>
        </w:rPr>
        <w:t>happened so long ago</w:t>
      </w:r>
      <w:r w:rsidRPr="00985CC7">
        <w:t xml:space="preserve"> that there would be little benefit in taking action now?</w:t>
      </w:r>
      <w:r w:rsidRPr="00985CC7">
        <w:tab/>
      </w:r>
      <w:r w:rsidRPr="00985CC7">
        <w:br/>
      </w:r>
    </w:p>
    <w:p w:rsidR="005E6AFD" w:rsidRDefault="00EC645B" w:rsidP="00564E34">
      <w:pPr>
        <w:numPr>
          <w:ilvl w:val="0"/>
          <w:numId w:val="2"/>
        </w:numPr>
        <w:tabs>
          <w:tab w:val="clear" w:pos="2517"/>
        </w:tabs>
        <w:ind w:left="360" w:hanging="360"/>
        <w:jc w:val="both"/>
      </w:pPr>
      <w:r w:rsidRPr="00985CC7">
        <w:t xml:space="preserve">Is the complainant </w:t>
      </w:r>
      <w:r w:rsidRPr="005E6AFD">
        <w:rPr>
          <w:b/>
        </w:rPr>
        <w:t>too trivial</w:t>
      </w:r>
      <w:r w:rsidR="005E6AFD">
        <w:t xml:space="preserve"> to warrant further action?</w:t>
      </w:r>
      <w:r w:rsidR="005E6AFD">
        <w:tab/>
      </w:r>
      <w:r w:rsidR="005E6AFD">
        <w:br/>
      </w:r>
    </w:p>
    <w:p w:rsidR="00EC645B" w:rsidRPr="00985CC7" w:rsidRDefault="00EC645B" w:rsidP="00564E34">
      <w:pPr>
        <w:numPr>
          <w:ilvl w:val="0"/>
          <w:numId w:val="2"/>
        </w:numPr>
        <w:tabs>
          <w:tab w:val="clear" w:pos="2517"/>
        </w:tabs>
        <w:ind w:left="360" w:hanging="360"/>
        <w:jc w:val="both"/>
      </w:pPr>
      <w:r w:rsidRPr="00985CC7">
        <w:t xml:space="preserve">Does the complaint appear to be simply </w:t>
      </w:r>
      <w:r w:rsidRPr="005E6AFD">
        <w:rPr>
          <w:b/>
        </w:rPr>
        <w:t>malicious, politically motivated or tit-for-tat</w:t>
      </w:r>
      <w:r w:rsidRPr="00985CC7">
        <w:t xml:space="preserve">?  If so, no further action </w:t>
      </w:r>
      <w:proofErr w:type="gramStart"/>
      <w:r w:rsidRPr="00985CC7">
        <w:t>should be taken</w:t>
      </w:r>
      <w:proofErr w:type="gramEnd"/>
      <w:r w:rsidRPr="00985CC7">
        <w:t>.</w:t>
      </w:r>
      <w:r w:rsidRPr="00985CC7">
        <w:tab/>
      </w:r>
      <w:r w:rsidRPr="00985CC7">
        <w:br/>
      </w:r>
    </w:p>
    <w:p w:rsidR="005E6AFD" w:rsidRDefault="00EC645B" w:rsidP="00EC645B">
      <w:pPr>
        <w:numPr>
          <w:ilvl w:val="0"/>
          <w:numId w:val="2"/>
        </w:numPr>
        <w:tabs>
          <w:tab w:val="clear" w:pos="2517"/>
        </w:tabs>
        <w:ind w:left="360" w:hanging="360"/>
        <w:jc w:val="both"/>
      </w:pPr>
      <w:r w:rsidRPr="00985CC7">
        <w:t xml:space="preserve">Is the conduct part of a </w:t>
      </w:r>
      <w:r w:rsidRPr="00985CC7">
        <w:rPr>
          <w:b/>
        </w:rPr>
        <w:t>continuing pattern of less serious misconduct</w:t>
      </w:r>
      <w:r w:rsidRPr="00985CC7">
        <w:t xml:space="preserve"> that is unreasonably disrupting the business of the Authority and there is no other avenue left to deal with it, short of investigation?</w:t>
      </w:r>
    </w:p>
    <w:p w:rsidR="005E6AFD" w:rsidRDefault="00EC645B" w:rsidP="005E6AFD">
      <w:pPr>
        <w:ind w:left="360"/>
        <w:jc w:val="both"/>
      </w:pPr>
      <w:r w:rsidRPr="00985CC7">
        <w:tab/>
      </w:r>
    </w:p>
    <w:p w:rsidR="00EC645B" w:rsidRPr="00985CC7" w:rsidRDefault="005E6AFD" w:rsidP="00EC645B">
      <w:pPr>
        <w:numPr>
          <w:ilvl w:val="0"/>
          <w:numId w:val="2"/>
        </w:numPr>
        <w:tabs>
          <w:tab w:val="clear" w:pos="2517"/>
        </w:tabs>
        <w:ind w:left="360" w:hanging="360"/>
        <w:jc w:val="both"/>
      </w:pPr>
      <w:r>
        <w:t>Has the complaint been submitted by a persistent complainer?</w:t>
      </w:r>
      <w:r>
        <w:tab/>
      </w:r>
      <w:r w:rsidR="00EC645B" w:rsidRPr="00985CC7">
        <w:br/>
      </w:r>
    </w:p>
    <w:p w:rsidR="00EC645B" w:rsidRPr="00985CC7" w:rsidRDefault="00EC645B" w:rsidP="00EC645B">
      <w:pPr>
        <w:numPr>
          <w:ilvl w:val="0"/>
          <w:numId w:val="2"/>
        </w:numPr>
        <w:tabs>
          <w:tab w:val="clear" w:pos="2517"/>
        </w:tabs>
        <w:ind w:left="360" w:hanging="360"/>
        <w:jc w:val="both"/>
      </w:pPr>
      <w:r w:rsidRPr="00985CC7">
        <w:t xml:space="preserve">Does this complaint indicate a wider problem at the Authority or a </w:t>
      </w:r>
      <w:r w:rsidRPr="00985CC7">
        <w:rPr>
          <w:b/>
        </w:rPr>
        <w:t>breakdown in relationships</w:t>
      </w:r>
      <w:r w:rsidRPr="00985CC7">
        <w:t>?  Is alternative action more appropriate?</w:t>
      </w:r>
      <w:r w:rsidRPr="00985CC7">
        <w:tab/>
      </w:r>
      <w:r w:rsidRPr="00985CC7">
        <w:br/>
      </w:r>
    </w:p>
    <w:p w:rsidR="00EC645B" w:rsidRPr="00787001" w:rsidRDefault="00EC645B" w:rsidP="00787001">
      <w:pPr>
        <w:numPr>
          <w:ilvl w:val="0"/>
          <w:numId w:val="2"/>
        </w:numPr>
        <w:tabs>
          <w:tab w:val="clear" w:pos="2517"/>
        </w:tabs>
        <w:ind w:left="360" w:hanging="360"/>
        <w:jc w:val="both"/>
      </w:pPr>
      <w:r w:rsidRPr="00985CC7">
        <w:t xml:space="preserve">Is the complaint serious enough to justify, if proven, the range of </w:t>
      </w:r>
      <w:r w:rsidRPr="00985CC7">
        <w:rPr>
          <w:b/>
        </w:rPr>
        <w:t xml:space="preserve">sanctions available to the </w:t>
      </w:r>
      <w:r w:rsidR="005E6AFD" w:rsidRPr="00787001">
        <w:rPr>
          <w:b/>
        </w:rPr>
        <w:t>Determination Sub-Committee</w:t>
      </w:r>
      <w:r w:rsidR="00787001">
        <w:t>?</w:t>
      </w:r>
      <w:r w:rsidR="00787001">
        <w:tab/>
      </w:r>
      <w:r w:rsidRPr="00787001">
        <w:rPr>
          <w:strike/>
        </w:rPr>
        <w:br/>
      </w:r>
    </w:p>
    <w:p w:rsidR="00EC645B" w:rsidRPr="00985CC7" w:rsidRDefault="00EC645B" w:rsidP="00EC645B">
      <w:pPr>
        <w:numPr>
          <w:ilvl w:val="0"/>
          <w:numId w:val="2"/>
        </w:numPr>
        <w:tabs>
          <w:tab w:val="clear" w:pos="2517"/>
        </w:tabs>
        <w:ind w:left="360" w:hanging="360"/>
        <w:jc w:val="both"/>
      </w:pPr>
      <w:r w:rsidRPr="00985CC7">
        <w:t xml:space="preserve">Does the complaint appear to be actually about the </w:t>
      </w:r>
      <w:r w:rsidRPr="00985CC7">
        <w:rPr>
          <w:b/>
        </w:rPr>
        <w:t>dissatisfaction with a council decision</w:t>
      </w:r>
      <w:r w:rsidRPr="00985CC7">
        <w:t xml:space="preserve"> rather than member conduct?</w:t>
      </w:r>
      <w:r w:rsidRPr="00985CC7">
        <w:tab/>
      </w:r>
      <w:r w:rsidRPr="00985CC7">
        <w:br/>
      </w:r>
    </w:p>
    <w:p w:rsidR="00EC645B" w:rsidRDefault="00EC645B" w:rsidP="00EC645B">
      <w:pPr>
        <w:numPr>
          <w:ilvl w:val="0"/>
          <w:numId w:val="2"/>
        </w:numPr>
        <w:tabs>
          <w:tab w:val="clear" w:pos="2517"/>
        </w:tabs>
        <w:ind w:left="360" w:hanging="360"/>
        <w:jc w:val="both"/>
      </w:pPr>
      <w:r>
        <w:t xml:space="preserve">Is the complaint </w:t>
      </w:r>
      <w:r w:rsidRPr="008D7E8D">
        <w:rPr>
          <w:b/>
        </w:rPr>
        <w:t>anonymous</w:t>
      </w:r>
      <w:r>
        <w:t>?  If so, does it include documentary or photographic evidence indicating an exceptionally serious or significant matter?</w:t>
      </w:r>
      <w:r>
        <w:tab/>
      </w:r>
      <w:r>
        <w:br/>
      </w:r>
    </w:p>
    <w:p w:rsidR="00EC645B" w:rsidRDefault="00EC645B" w:rsidP="00EC645B">
      <w:pPr>
        <w:numPr>
          <w:ilvl w:val="0"/>
          <w:numId w:val="2"/>
        </w:numPr>
        <w:tabs>
          <w:tab w:val="clear" w:pos="2517"/>
        </w:tabs>
        <w:ind w:left="360" w:hanging="360"/>
        <w:jc w:val="both"/>
      </w:pPr>
      <w:r>
        <w:t xml:space="preserve">Has the complainant requested that their </w:t>
      </w:r>
      <w:r w:rsidRPr="008D7E8D">
        <w:rPr>
          <w:b/>
        </w:rPr>
        <w:t xml:space="preserve">identity </w:t>
      </w:r>
      <w:proofErr w:type="gramStart"/>
      <w:r w:rsidRPr="008D7E8D">
        <w:rPr>
          <w:b/>
        </w:rPr>
        <w:t>be withheld</w:t>
      </w:r>
      <w:proofErr w:type="gramEnd"/>
      <w:r>
        <w:t>?  If so, only grant the request if:</w:t>
      </w:r>
    </w:p>
    <w:p w:rsidR="00EC645B" w:rsidRDefault="00EC645B" w:rsidP="00EC645B">
      <w:pPr>
        <w:jc w:val="both"/>
      </w:pPr>
    </w:p>
    <w:p w:rsidR="00EC645B" w:rsidRDefault="00EC645B" w:rsidP="00EC645B">
      <w:pPr>
        <w:ind w:left="1080" w:hanging="720"/>
        <w:jc w:val="both"/>
      </w:pPr>
      <w:r>
        <w:t>(a)</w:t>
      </w:r>
      <w:r>
        <w:tab/>
      </w:r>
      <w:proofErr w:type="gramStart"/>
      <w:r>
        <w:t>risk</w:t>
      </w:r>
      <w:proofErr w:type="gramEnd"/>
      <w:r>
        <w:t xml:space="preserve"> of physical harm to the complainant;</w:t>
      </w:r>
    </w:p>
    <w:p w:rsidR="00EC645B" w:rsidRDefault="00EC645B" w:rsidP="00EC645B">
      <w:pPr>
        <w:ind w:left="1080" w:hanging="720"/>
        <w:jc w:val="both"/>
      </w:pPr>
      <w:r>
        <w:t>(b)</w:t>
      </w:r>
      <w:r>
        <w:tab/>
      </w:r>
      <w:proofErr w:type="gramStart"/>
      <w:r>
        <w:t>risk</w:t>
      </w:r>
      <w:proofErr w:type="gramEnd"/>
      <w:r>
        <w:t xml:space="preserve"> to the employment of the complainant as an officer or service provider;</w:t>
      </w:r>
    </w:p>
    <w:p w:rsidR="00EC645B" w:rsidRDefault="00EC645B" w:rsidP="00EC645B">
      <w:pPr>
        <w:ind w:left="1080" w:hanging="720"/>
        <w:jc w:val="both"/>
      </w:pPr>
      <w:r>
        <w:t>(c)</w:t>
      </w:r>
      <w:r>
        <w:tab/>
      </w:r>
      <w:proofErr w:type="gramStart"/>
      <w:r>
        <w:t>risk</w:t>
      </w:r>
      <w:proofErr w:type="gramEnd"/>
      <w:r>
        <w:t xml:space="preserve"> from a serious medical condition relating to the complainant.</w:t>
      </w:r>
    </w:p>
    <w:p w:rsidR="00EC645B" w:rsidRDefault="00EC645B" w:rsidP="00EC645B">
      <w:pPr>
        <w:ind w:left="1080" w:hanging="720"/>
        <w:jc w:val="both"/>
      </w:pPr>
    </w:p>
    <w:p w:rsidR="00EC645B" w:rsidRPr="00985CC7" w:rsidRDefault="00EC645B" w:rsidP="00EC645B">
      <w:pPr>
        <w:numPr>
          <w:ilvl w:val="0"/>
          <w:numId w:val="3"/>
        </w:numPr>
        <w:tabs>
          <w:tab w:val="clear" w:pos="2517"/>
        </w:tabs>
        <w:ind w:left="360" w:hanging="360"/>
        <w:jc w:val="both"/>
      </w:pPr>
      <w:r w:rsidRPr="00985CC7">
        <w:t xml:space="preserve">Where the complainant asks to </w:t>
      </w:r>
      <w:r w:rsidRPr="008D7E8D">
        <w:rPr>
          <w:b/>
        </w:rPr>
        <w:t>withdraw their complaint</w:t>
      </w:r>
      <w:r w:rsidRPr="00985CC7">
        <w:t xml:space="preserve"> prior to the Sub-committee having made a decision, the Sub-committee will need to consider the request and in doing so will take into consideration:</w:t>
      </w:r>
    </w:p>
    <w:p w:rsidR="00EC645B" w:rsidRPr="00985CC7" w:rsidRDefault="00EC645B" w:rsidP="00EC645B">
      <w:pPr>
        <w:ind w:left="720" w:hanging="720"/>
        <w:jc w:val="both"/>
      </w:pPr>
    </w:p>
    <w:p w:rsidR="00EC645B" w:rsidRPr="00985CC7" w:rsidRDefault="00EC645B" w:rsidP="00EC645B">
      <w:pPr>
        <w:ind w:left="1080" w:hanging="720"/>
        <w:jc w:val="both"/>
      </w:pPr>
      <w:r w:rsidRPr="00985CC7">
        <w:t>(a)</w:t>
      </w:r>
      <w:r w:rsidRPr="00985CC7">
        <w:tab/>
      </w:r>
      <w:proofErr w:type="gramStart"/>
      <w:r w:rsidRPr="00985CC7">
        <w:t>whether</w:t>
      </w:r>
      <w:proofErr w:type="gramEnd"/>
      <w:r w:rsidRPr="00985CC7">
        <w:t xml:space="preserve"> the public interest in taking such action outweighs the complainant’s wish to withdraw it;</w:t>
      </w:r>
    </w:p>
    <w:p w:rsidR="00EC645B" w:rsidRPr="00985CC7" w:rsidRDefault="00EC645B" w:rsidP="00EC645B">
      <w:pPr>
        <w:ind w:left="1080" w:hanging="720"/>
        <w:jc w:val="both"/>
      </w:pPr>
      <w:r w:rsidRPr="00985CC7">
        <w:t>(b)</w:t>
      </w:r>
      <w:r w:rsidRPr="00985CC7">
        <w:tab/>
      </w:r>
      <w:proofErr w:type="gramStart"/>
      <w:r w:rsidRPr="00985CC7">
        <w:t>whether</w:t>
      </w:r>
      <w:proofErr w:type="gramEnd"/>
      <w:r w:rsidRPr="00985CC7">
        <w:t xml:space="preserve"> such action can be taken without the complainant’s participation;</w:t>
      </w:r>
    </w:p>
    <w:p w:rsidR="00EC645B" w:rsidRPr="00985CC7" w:rsidRDefault="00EC645B" w:rsidP="00EC645B">
      <w:pPr>
        <w:ind w:left="1080" w:hanging="720"/>
        <w:jc w:val="both"/>
      </w:pPr>
      <w:r w:rsidRPr="00985CC7">
        <w:t>(c)</w:t>
      </w:r>
      <w:r w:rsidRPr="00985CC7">
        <w:tab/>
      </w:r>
      <w:proofErr w:type="gramStart"/>
      <w:r w:rsidRPr="00985CC7">
        <w:t>the</w:t>
      </w:r>
      <w:proofErr w:type="gramEnd"/>
      <w:r w:rsidRPr="00985CC7">
        <w:t xml:space="preserve"> reason for the request.</w:t>
      </w:r>
    </w:p>
    <w:p w:rsidR="00EC645B" w:rsidRPr="00985CC7" w:rsidRDefault="00EC645B" w:rsidP="00EC645B">
      <w:pPr>
        <w:jc w:val="both"/>
      </w:pPr>
    </w:p>
    <w:p w:rsidR="00EC645B" w:rsidRDefault="00EC645B" w:rsidP="00EC645B">
      <w:pPr>
        <w:jc w:val="center"/>
        <w:rPr>
          <w:rFonts w:cs="Arial"/>
          <w:b/>
        </w:rPr>
      </w:pPr>
      <w:r w:rsidRPr="00985CC7">
        <w:rPr>
          <w:rFonts w:cs="Arial"/>
        </w:rPr>
        <w:br w:type="page"/>
      </w:r>
      <w:r w:rsidRPr="00985CC7">
        <w:rPr>
          <w:rFonts w:cs="Arial"/>
          <w:b/>
        </w:rPr>
        <w:t xml:space="preserve"> ASSESSMENT - SUB-COMMITTEE HEARING CHECKLIST</w:t>
      </w:r>
    </w:p>
    <w:p w:rsidR="005A0466" w:rsidRPr="00985CC7" w:rsidRDefault="005A0466" w:rsidP="00EC645B">
      <w:pPr>
        <w:jc w:val="center"/>
        <w:rPr>
          <w:rFonts w:cs="Arial"/>
          <w:b/>
        </w:rPr>
      </w:pPr>
      <w:r>
        <w:rPr>
          <w:rFonts w:cs="Arial"/>
          <w:b/>
        </w:rPr>
        <w:t>PUBLIC INTEREST TEST</w:t>
      </w:r>
    </w:p>
    <w:p w:rsidR="00EC645B" w:rsidRPr="00985CC7" w:rsidRDefault="00EC645B" w:rsidP="00EC645B">
      <w:pPr>
        <w:jc w:val="center"/>
        <w:rPr>
          <w:rFonts w:cs="Arial"/>
        </w:rPr>
      </w:pPr>
    </w:p>
    <w:p w:rsidR="00EC645B" w:rsidRPr="00985CC7" w:rsidRDefault="00EC645B" w:rsidP="00EC645B">
      <w:pPr>
        <w:jc w:val="center"/>
        <w:rPr>
          <w:rFonts w:cs="Arial"/>
        </w:rPr>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5"/>
        <w:gridCol w:w="1080"/>
        <w:gridCol w:w="1080"/>
      </w:tblGrid>
      <w:tr w:rsidR="00EC645B" w:rsidRPr="00247B27" w:rsidTr="00EC645B">
        <w:trPr>
          <w:cantSplit/>
        </w:trPr>
        <w:tc>
          <w:tcPr>
            <w:tcW w:w="9245" w:type="dxa"/>
            <w:gridSpan w:val="3"/>
          </w:tcPr>
          <w:p w:rsidR="00EC645B" w:rsidRPr="00247B27" w:rsidRDefault="00EC645B" w:rsidP="001D3E96">
            <w:pPr>
              <w:rPr>
                <w:rFonts w:cs="Arial"/>
              </w:rPr>
            </w:pPr>
          </w:p>
          <w:p w:rsidR="00EC645B" w:rsidRPr="00247B27" w:rsidRDefault="00EC645B" w:rsidP="001D3E96">
            <w:pPr>
              <w:rPr>
                <w:rFonts w:cs="Arial"/>
              </w:rPr>
            </w:pPr>
            <w:r w:rsidRPr="00247B27">
              <w:rPr>
                <w:rFonts w:cs="Arial"/>
                <w:b/>
              </w:rPr>
              <w:t>Section 1</w:t>
            </w:r>
            <w:r w:rsidRPr="00247B27">
              <w:rPr>
                <w:rFonts w:cs="Arial"/>
              </w:rPr>
              <w:t xml:space="preserve"> - All answers to Section 1 require a “yes” to continue.</w:t>
            </w:r>
          </w:p>
        </w:tc>
      </w:tr>
      <w:tr w:rsidR="00EC645B" w:rsidRPr="00247B27" w:rsidTr="00EC645B">
        <w:trPr>
          <w:cantSplit/>
        </w:trPr>
        <w:tc>
          <w:tcPr>
            <w:tcW w:w="7085" w:type="dxa"/>
          </w:tcPr>
          <w:p w:rsidR="00EC645B" w:rsidRPr="00247B27" w:rsidRDefault="00EC645B" w:rsidP="001D3E96">
            <w:pPr>
              <w:rPr>
                <w:rFonts w:cs="Arial"/>
              </w:rPr>
            </w:pPr>
          </w:p>
          <w:p w:rsidR="00EC645B" w:rsidRPr="00247B27" w:rsidRDefault="00EC645B" w:rsidP="001D3E96">
            <w:pPr>
              <w:rPr>
                <w:rFonts w:cs="Arial"/>
              </w:rPr>
            </w:pPr>
            <w:r w:rsidRPr="00247B27">
              <w:rPr>
                <w:rFonts w:cs="Arial"/>
              </w:rPr>
              <w:t xml:space="preserve">Quorum - 3 </w:t>
            </w:r>
            <w:r>
              <w:rPr>
                <w:rFonts w:cs="Arial"/>
              </w:rPr>
              <w:t>District M</w:t>
            </w:r>
            <w:r w:rsidRPr="00247B27">
              <w:rPr>
                <w:rFonts w:cs="Arial"/>
              </w:rPr>
              <w:t>embers present</w:t>
            </w:r>
          </w:p>
          <w:p w:rsidR="00EC645B" w:rsidRPr="00247B27" w:rsidRDefault="00EC645B" w:rsidP="001D3E96">
            <w:pPr>
              <w:rPr>
                <w:rFonts w:cs="Arial"/>
              </w:rPr>
            </w:pPr>
          </w:p>
        </w:tc>
        <w:tc>
          <w:tcPr>
            <w:tcW w:w="2160" w:type="dxa"/>
            <w:gridSpan w:val="2"/>
          </w:tcPr>
          <w:p w:rsidR="00EC645B" w:rsidRPr="00247B27" w:rsidRDefault="00EC645B" w:rsidP="001D3E96">
            <w:pPr>
              <w:rPr>
                <w:rFonts w:cs="Arial"/>
              </w:rPr>
            </w:pPr>
          </w:p>
        </w:tc>
      </w:tr>
      <w:tr w:rsidR="00EC645B" w:rsidRPr="00247B27" w:rsidTr="00EC645B">
        <w:trPr>
          <w:cantSplit/>
        </w:trPr>
        <w:tc>
          <w:tcPr>
            <w:tcW w:w="7085" w:type="dxa"/>
          </w:tcPr>
          <w:p w:rsidR="00EC645B" w:rsidRPr="00247B27" w:rsidRDefault="00EC645B" w:rsidP="001D3E96">
            <w:pPr>
              <w:rPr>
                <w:rFonts w:cs="Arial"/>
              </w:rPr>
            </w:pPr>
          </w:p>
          <w:p w:rsidR="00EC645B" w:rsidRPr="00247B27" w:rsidRDefault="00EC645B" w:rsidP="001D3E96">
            <w:pPr>
              <w:rPr>
                <w:rFonts w:cs="Arial"/>
              </w:rPr>
            </w:pPr>
            <w:r w:rsidRPr="00247B27">
              <w:rPr>
                <w:rFonts w:cs="Arial"/>
              </w:rPr>
              <w:t>All Sub-committee members received and read reports.</w:t>
            </w:r>
          </w:p>
        </w:tc>
        <w:tc>
          <w:tcPr>
            <w:tcW w:w="2160" w:type="dxa"/>
            <w:gridSpan w:val="2"/>
          </w:tcPr>
          <w:p w:rsidR="00EC645B" w:rsidRPr="00247B27" w:rsidRDefault="00EC645B" w:rsidP="001D3E96">
            <w:pPr>
              <w:rPr>
                <w:rFonts w:cs="Arial"/>
              </w:rPr>
            </w:pPr>
          </w:p>
        </w:tc>
      </w:tr>
      <w:tr w:rsidR="00153E58" w:rsidRPr="00247B27" w:rsidTr="00564E34">
        <w:trPr>
          <w:cantSplit/>
        </w:trPr>
        <w:tc>
          <w:tcPr>
            <w:tcW w:w="9245" w:type="dxa"/>
            <w:gridSpan w:val="3"/>
          </w:tcPr>
          <w:p w:rsidR="00153E58" w:rsidRDefault="00153E58" w:rsidP="001D3E96">
            <w:pPr>
              <w:rPr>
                <w:rFonts w:cs="Arial"/>
              </w:rPr>
            </w:pPr>
          </w:p>
          <w:p w:rsidR="00153E58" w:rsidRPr="00153E58" w:rsidRDefault="00153E58" w:rsidP="001D3E96">
            <w:pPr>
              <w:rPr>
                <w:rFonts w:cs="Arial"/>
                <w:u w:val="single"/>
              </w:rPr>
            </w:pPr>
            <w:r>
              <w:rPr>
                <w:rFonts w:cs="Arial"/>
                <w:u w:val="single"/>
              </w:rPr>
              <w:t>Initial tests</w:t>
            </w:r>
          </w:p>
        </w:tc>
      </w:tr>
      <w:tr w:rsidR="00EC645B" w:rsidRPr="00247B27" w:rsidTr="00EC645B">
        <w:trPr>
          <w:cantSplit/>
        </w:trPr>
        <w:tc>
          <w:tcPr>
            <w:tcW w:w="7085" w:type="dxa"/>
          </w:tcPr>
          <w:p w:rsidR="00EC645B" w:rsidRPr="00247B27" w:rsidRDefault="00EC645B" w:rsidP="001D3E96">
            <w:pPr>
              <w:rPr>
                <w:rFonts w:cs="Arial"/>
              </w:rPr>
            </w:pPr>
          </w:p>
          <w:p w:rsidR="00EC645B" w:rsidRPr="00787001" w:rsidRDefault="00153E58" w:rsidP="001D3E96">
            <w:pPr>
              <w:rPr>
                <w:rFonts w:cs="Arial"/>
              </w:rPr>
            </w:pPr>
            <w:r w:rsidRPr="00787001">
              <w:rPr>
                <w:rFonts w:cs="Arial"/>
              </w:rPr>
              <w:t>1. Does the complaint relate to a member within the NWLDC area, in office at the time of the conduct complained of</w:t>
            </w:r>
          </w:p>
        </w:tc>
        <w:tc>
          <w:tcPr>
            <w:tcW w:w="2160" w:type="dxa"/>
            <w:gridSpan w:val="2"/>
          </w:tcPr>
          <w:p w:rsidR="00EC645B" w:rsidRPr="00247B27" w:rsidRDefault="00EC645B" w:rsidP="001D3E96">
            <w:pPr>
              <w:rPr>
                <w:rFonts w:cs="Arial"/>
              </w:rPr>
            </w:pPr>
          </w:p>
        </w:tc>
      </w:tr>
      <w:tr w:rsidR="00EC645B" w:rsidRPr="00247B27" w:rsidTr="00EC645B">
        <w:trPr>
          <w:cantSplit/>
        </w:trPr>
        <w:tc>
          <w:tcPr>
            <w:tcW w:w="7085" w:type="dxa"/>
          </w:tcPr>
          <w:p w:rsidR="00EC645B" w:rsidRPr="00787001" w:rsidRDefault="00EC645B" w:rsidP="001D3E96">
            <w:pPr>
              <w:rPr>
                <w:rFonts w:cs="Arial"/>
              </w:rPr>
            </w:pPr>
          </w:p>
          <w:p w:rsidR="00EC645B" w:rsidRPr="00787001" w:rsidRDefault="00153E58" w:rsidP="001D3E96">
            <w:pPr>
              <w:rPr>
                <w:rFonts w:cs="Arial"/>
              </w:rPr>
            </w:pPr>
            <w:proofErr w:type="gramStart"/>
            <w:r w:rsidRPr="00787001">
              <w:rPr>
                <w:rFonts w:cs="Arial"/>
              </w:rPr>
              <w:t>2. Was the member acting in their capacity as a councillor at the time of the conduct complained</w:t>
            </w:r>
            <w:proofErr w:type="gramEnd"/>
            <w:r w:rsidRPr="00787001">
              <w:rPr>
                <w:rFonts w:cs="Arial"/>
              </w:rPr>
              <w:t xml:space="preserve"> of?</w:t>
            </w:r>
          </w:p>
        </w:tc>
        <w:tc>
          <w:tcPr>
            <w:tcW w:w="2160" w:type="dxa"/>
            <w:gridSpan w:val="2"/>
          </w:tcPr>
          <w:p w:rsidR="00EC645B" w:rsidRPr="00247B27" w:rsidRDefault="00EC645B" w:rsidP="001D3E96">
            <w:pPr>
              <w:rPr>
                <w:rFonts w:cs="Arial"/>
              </w:rPr>
            </w:pPr>
          </w:p>
        </w:tc>
      </w:tr>
      <w:tr w:rsidR="00EC645B" w:rsidRPr="00247B27" w:rsidTr="00EC645B">
        <w:trPr>
          <w:cantSplit/>
        </w:trPr>
        <w:tc>
          <w:tcPr>
            <w:tcW w:w="7085" w:type="dxa"/>
          </w:tcPr>
          <w:p w:rsidR="00EC645B" w:rsidRPr="00247B27" w:rsidRDefault="00EC645B" w:rsidP="001D3E96">
            <w:pPr>
              <w:rPr>
                <w:rFonts w:cs="Arial"/>
              </w:rPr>
            </w:pPr>
          </w:p>
          <w:p w:rsidR="00EC645B" w:rsidRPr="00247B27" w:rsidRDefault="00153E58" w:rsidP="001D3E96">
            <w:pPr>
              <w:rPr>
                <w:rFonts w:cs="Arial"/>
              </w:rPr>
            </w:pPr>
            <w:r w:rsidRPr="00787001">
              <w:rPr>
                <w:rFonts w:cs="Arial"/>
              </w:rPr>
              <w:t>3.</w:t>
            </w:r>
            <w:r>
              <w:rPr>
                <w:rFonts w:cs="Arial"/>
              </w:rPr>
              <w:t xml:space="preserve"> </w:t>
            </w:r>
            <w:r w:rsidR="00EC645B" w:rsidRPr="00247B27">
              <w:rPr>
                <w:rFonts w:cs="Arial"/>
              </w:rPr>
              <w:t>The complaint, if proven, would be a breach of the Code under which the member operates.</w:t>
            </w:r>
          </w:p>
        </w:tc>
        <w:tc>
          <w:tcPr>
            <w:tcW w:w="2160" w:type="dxa"/>
            <w:gridSpan w:val="2"/>
          </w:tcPr>
          <w:p w:rsidR="00EC645B" w:rsidRPr="00247B27" w:rsidRDefault="00EC645B" w:rsidP="001D3E96">
            <w:pPr>
              <w:rPr>
                <w:rFonts w:cs="Arial"/>
              </w:rPr>
            </w:pPr>
          </w:p>
        </w:tc>
      </w:tr>
      <w:tr w:rsidR="00EC645B" w:rsidRPr="00247B27" w:rsidTr="00EC645B">
        <w:trPr>
          <w:cantSplit/>
        </w:trPr>
        <w:tc>
          <w:tcPr>
            <w:tcW w:w="9245" w:type="dxa"/>
            <w:gridSpan w:val="3"/>
          </w:tcPr>
          <w:p w:rsidR="00EC645B" w:rsidRPr="00247B27" w:rsidRDefault="00EC645B" w:rsidP="001D3E96">
            <w:pPr>
              <w:rPr>
                <w:rFonts w:cs="Arial"/>
              </w:rPr>
            </w:pPr>
          </w:p>
          <w:p w:rsidR="00EC645B" w:rsidRPr="00247B27" w:rsidRDefault="00EC645B" w:rsidP="001D3E96">
            <w:pPr>
              <w:rPr>
                <w:rFonts w:cs="Arial"/>
                <w:b/>
              </w:rPr>
            </w:pPr>
            <w:r w:rsidRPr="00247B27">
              <w:rPr>
                <w:rFonts w:cs="Arial"/>
                <w:b/>
              </w:rPr>
              <w:t>Section 2</w:t>
            </w:r>
          </w:p>
        </w:tc>
      </w:tr>
      <w:tr w:rsidR="00EC645B" w:rsidRPr="00247B27" w:rsidTr="00EC645B">
        <w:trPr>
          <w:cantSplit/>
        </w:trPr>
        <w:tc>
          <w:tcPr>
            <w:tcW w:w="7085" w:type="dxa"/>
          </w:tcPr>
          <w:p w:rsidR="00EC645B" w:rsidRPr="00247B27" w:rsidRDefault="00EC645B" w:rsidP="001D3E96">
            <w:pPr>
              <w:rPr>
                <w:rFonts w:cs="Arial"/>
              </w:rPr>
            </w:pPr>
          </w:p>
        </w:tc>
        <w:tc>
          <w:tcPr>
            <w:tcW w:w="1080" w:type="dxa"/>
          </w:tcPr>
          <w:p w:rsidR="00EC645B" w:rsidRPr="00247B27" w:rsidRDefault="00EC645B" w:rsidP="001D3E96">
            <w:pPr>
              <w:jc w:val="center"/>
              <w:rPr>
                <w:rFonts w:cs="Arial"/>
              </w:rPr>
            </w:pPr>
          </w:p>
          <w:p w:rsidR="00EC645B" w:rsidRPr="00247B27" w:rsidRDefault="00EC645B" w:rsidP="001D3E96">
            <w:pPr>
              <w:jc w:val="center"/>
              <w:rPr>
                <w:rFonts w:cs="Arial"/>
                <w:b/>
              </w:rPr>
            </w:pPr>
            <w:r w:rsidRPr="00247B27">
              <w:rPr>
                <w:rFonts w:cs="Arial"/>
                <w:b/>
              </w:rPr>
              <w:t>Yes</w:t>
            </w:r>
          </w:p>
        </w:tc>
        <w:tc>
          <w:tcPr>
            <w:tcW w:w="1080" w:type="dxa"/>
          </w:tcPr>
          <w:p w:rsidR="00EC645B" w:rsidRPr="00247B27" w:rsidRDefault="00EC645B" w:rsidP="001D3E96">
            <w:pPr>
              <w:jc w:val="center"/>
              <w:rPr>
                <w:rFonts w:cs="Arial"/>
              </w:rPr>
            </w:pPr>
          </w:p>
          <w:p w:rsidR="00EC645B" w:rsidRPr="00247B27" w:rsidRDefault="00EC645B" w:rsidP="001D3E96">
            <w:pPr>
              <w:jc w:val="center"/>
              <w:rPr>
                <w:rFonts w:cs="Arial"/>
                <w:b/>
              </w:rPr>
            </w:pPr>
            <w:r w:rsidRPr="00247B27">
              <w:rPr>
                <w:rFonts w:cs="Arial"/>
                <w:b/>
              </w:rPr>
              <w:t>No</w:t>
            </w:r>
          </w:p>
        </w:tc>
      </w:tr>
      <w:tr w:rsidR="00EC645B" w:rsidRPr="00247B27" w:rsidTr="00EC645B">
        <w:trPr>
          <w:cantSplit/>
        </w:trPr>
        <w:tc>
          <w:tcPr>
            <w:tcW w:w="7085" w:type="dxa"/>
          </w:tcPr>
          <w:p w:rsidR="00EC645B" w:rsidRPr="00247B27" w:rsidRDefault="00EC645B" w:rsidP="001D3E96">
            <w:pPr>
              <w:rPr>
                <w:rFonts w:cs="Arial"/>
              </w:rPr>
            </w:pPr>
          </w:p>
          <w:p w:rsidR="00EC645B" w:rsidRPr="00247B27" w:rsidRDefault="00EC645B" w:rsidP="001D3E96">
            <w:pPr>
              <w:rPr>
                <w:rFonts w:cs="Arial"/>
              </w:rPr>
            </w:pPr>
            <w:r w:rsidRPr="00247B27">
              <w:rPr>
                <w:rFonts w:cs="Arial"/>
              </w:rPr>
              <w:t>Has the complaint previously been the subject of an investigation or other action relating to the Code of Conduct?</w:t>
            </w:r>
          </w:p>
        </w:tc>
        <w:tc>
          <w:tcPr>
            <w:tcW w:w="1080" w:type="dxa"/>
          </w:tcPr>
          <w:p w:rsidR="00EC645B" w:rsidRPr="00247B27" w:rsidRDefault="00EC645B" w:rsidP="001D3E96">
            <w:pPr>
              <w:jc w:val="center"/>
              <w:rPr>
                <w:rFonts w:cs="Arial"/>
              </w:rPr>
            </w:pPr>
          </w:p>
        </w:tc>
        <w:tc>
          <w:tcPr>
            <w:tcW w:w="1080" w:type="dxa"/>
          </w:tcPr>
          <w:p w:rsidR="00EC645B" w:rsidRPr="00247B27" w:rsidRDefault="00EC645B" w:rsidP="001D3E96">
            <w:pPr>
              <w:jc w:val="center"/>
              <w:rPr>
                <w:rFonts w:cs="Arial"/>
              </w:rPr>
            </w:pPr>
          </w:p>
        </w:tc>
      </w:tr>
      <w:tr w:rsidR="00EC645B" w:rsidRPr="00247B27" w:rsidTr="00EC645B">
        <w:trPr>
          <w:cantSplit/>
        </w:trPr>
        <w:tc>
          <w:tcPr>
            <w:tcW w:w="7085" w:type="dxa"/>
          </w:tcPr>
          <w:p w:rsidR="00EC645B" w:rsidRPr="00247B27" w:rsidRDefault="00EC645B" w:rsidP="001D3E96">
            <w:pPr>
              <w:rPr>
                <w:rFonts w:cs="Arial"/>
              </w:rPr>
            </w:pPr>
          </w:p>
          <w:p w:rsidR="00EC645B" w:rsidRPr="00247B27" w:rsidRDefault="00EC645B" w:rsidP="001D3E96">
            <w:pPr>
              <w:rPr>
                <w:rFonts w:cs="Arial"/>
              </w:rPr>
            </w:pPr>
            <w:r w:rsidRPr="00247B27">
              <w:rPr>
                <w:rFonts w:cs="Arial"/>
              </w:rPr>
              <w:t>Did the incident relating to the complaint occur so long ago that there is little benefit in taking action now?</w:t>
            </w:r>
          </w:p>
        </w:tc>
        <w:tc>
          <w:tcPr>
            <w:tcW w:w="1080" w:type="dxa"/>
          </w:tcPr>
          <w:p w:rsidR="00EC645B" w:rsidRPr="00247B27" w:rsidRDefault="00EC645B" w:rsidP="001D3E96">
            <w:pPr>
              <w:jc w:val="center"/>
              <w:rPr>
                <w:rFonts w:cs="Arial"/>
              </w:rPr>
            </w:pPr>
          </w:p>
        </w:tc>
        <w:tc>
          <w:tcPr>
            <w:tcW w:w="1080" w:type="dxa"/>
          </w:tcPr>
          <w:p w:rsidR="00EC645B" w:rsidRPr="00247B27" w:rsidRDefault="00EC645B" w:rsidP="001D3E96">
            <w:pPr>
              <w:jc w:val="center"/>
              <w:rPr>
                <w:rFonts w:cs="Arial"/>
              </w:rPr>
            </w:pPr>
          </w:p>
        </w:tc>
      </w:tr>
      <w:tr w:rsidR="00EC645B" w:rsidRPr="00247B27" w:rsidTr="00EC645B">
        <w:trPr>
          <w:cantSplit/>
        </w:trPr>
        <w:tc>
          <w:tcPr>
            <w:tcW w:w="7085" w:type="dxa"/>
          </w:tcPr>
          <w:p w:rsidR="00EC645B" w:rsidRPr="00247B27" w:rsidRDefault="00EC645B" w:rsidP="001D3E96">
            <w:pPr>
              <w:rPr>
                <w:rFonts w:cs="Arial"/>
              </w:rPr>
            </w:pPr>
          </w:p>
          <w:p w:rsidR="00EC645B" w:rsidRPr="00247B27" w:rsidRDefault="00EC645B" w:rsidP="001D3E96">
            <w:pPr>
              <w:rPr>
                <w:rFonts w:cs="Arial"/>
              </w:rPr>
            </w:pPr>
            <w:r w:rsidRPr="00247B27">
              <w:rPr>
                <w:rFonts w:cs="Arial"/>
              </w:rPr>
              <w:t>Does the complaint appear trivial?</w:t>
            </w:r>
          </w:p>
        </w:tc>
        <w:tc>
          <w:tcPr>
            <w:tcW w:w="1080" w:type="dxa"/>
          </w:tcPr>
          <w:p w:rsidR="00EC645B" w:rsidRPr="00247B27" w:rsidRDefault="00EC645B" w:rsidP="001D3E96">
            <w:pPr>
              <w:jc w:val="center"/>
              <w:rPr>
                <w:rFonts w:cs="Arial"/>
              </w:rPr>
            </w:pPr>
          </w:p>
        </w:tc>
        <w:tc>
          <w:tcPr>
            <w:tcW w:w="1080" w:type="dxa"/>
          </w:tcPr>
          <w:p w:rsidR="00EC645B" w:rsidRPr="00247B27" w:rsidRDefault="00EC645B" w:rsidP="001D3E96">
            <w:pPr>
              <w:jc w:val="center"/>
              <w:rPr>
                <w:rFonts w:cs="Arial"/>
              </w:rPr>
            </w:pPr>
          </w:p>
        </w:tc>
      </w:tr>
      <w:tr w:rsidR="00EC645B" w:rsidRPr="00247B27" w:rsidTr="00EC645B">
        <w:trPr>
          <w:cantSplit/>
        </w:trPr>
        <w:tc>
          <w:tcPr>
            <w:tcW w:w="7085" w:type="dxa"/>
          </w:tcPr>
          <w:p w:rsidR="00EC645B" w:rsidRPr="00247B27" w:rsidRDefault="00EC645B" w:rsidP="001D3E96">
            <w:pPr>
              <w:rPr>
                <w:rFonts w:cs="Arial"/>
              </w:rPr>
            </w:pPr>
          </w:p>
          <w:p w:rsidR="00EC645B" w:rsidRPr="00247B27" w:rsidRDefault="00EC645B" w:rsidP="001D3E96">
            <w:pPr>
              <w:rPr>
                <w:rFonts w:cs="Arial"/>
              </w:rPr>
            </w:pPr>
            <w:r w:rsidRPr="00247B27">
              <w:rPr>
                <w:rFonts w:cs="Arial"/>
              </w:rPr>
              <w:t>Does the complaint appear malicious or vexatious?</w:t>
            </w:r>
          </w:p>
        </w:tc>
        <w:tc>
          <w:tcPr>
            <w:tcW w:w="1080" w:type="dxa"/>
          </w:tcPr>
          <w:p w:rsidR="00EC645B" w:rsidRPr="00247B27" w:rsidRDefault="00EC645B" w:rsidP="001D3E96">
            <w:pPr>
              <w:jc w:val="center"/>
              <w:rPr>
                <w:rFonts w:cs="Arial"/>
              </w:rPr>
            </w:pPr>
          </w:p>
        </w:tc>
        <w:tc>
          <w:tcPr>
            <w:tcW w:w="1080" w:type="dxa"/>
          </w:tcPr>
          <w:p w:rsidR="00EC645B" w:rsidRPr="00247B27" w:rsidRDefault="00EC645B" w:rsidP="001D3E96">
            <w:pPr>
              <w:jc w:val="center"/>
              <w:rPr>
                <w:rFonts w:cs="Arial"/>
              </w:rPr>
            </w:pPr>
          </w:p>
        </w:tc>
      </w:tr>
      <w:tr w:rsidR="00EC645B" w:rsidRPr="00247B27" w:rsidTr="00EC645B">
        <w:trPr>
          <w:cantSplit/>
        </w:trPr>
        <w:tc>
          <w:tcPr>
            <w:tcW w:w="7085" w:type="dxa"/>
          </w:tcPr>
          <w:p w:rsidR="00EC645B" w:rsidRPr="00247B27" w:rsidRDefault="00EC645B" w:rsidP="001D3E96">
            <w:pPr>
              <w:rPr>
                <w:rFonts w:cs="Arial"/>
              </w:rPr>
            </w:pPr>
          </w:p>
          <w:p w:rsidR="00EC645B" w:rsidRPr="00247B27" w:rsidRDefault="00EC645B" w:rsidP="001D3E96">
            <w:pPr>
              <w:rPr>
                <w:rFonts w:cs="Arial"/>
              </w:rPr>
            </w:pPr>
            <w:r w:rsidRPr="00247B27">
              <w:rPr>
                <w:rFonts w:cs="Arial"/>
              </w:rPr>
              <w:t>Does the complaint appear politically motivated?</w:t>
            </w:r>
          </w:p>
        </w:tc>
        <w:tc>
          <w:tcPr>
            <w:tcW w:w="1080" w:type="dxa"/>
          </w:tcPr>
          <w:p w:rsidR="00EC645B" w:rsidRPr="00247B27" w:rsidRDefault="00EC645B" w:rsidP="001D3E96">
            <w:pPr>
              <w:jc w:val="center"/>
              <w:rPr>
                <w:rFonts w:cs="Arial"/>
              </w:rPr>
            </w:pPr>
          </w:p>
        </w:tc>
        <w:tc>
          <w:tcPr>
            <w:tcW w:w="1080" w:type="dxa"/>
          </w:tcPr>
          <w:p w:rsidR="00EC645B" w:rsidRPr="00247B27" w:rsidRDefault="00EC645B" w:rsidP="001D3E96">
            <w:pPr>
              <w:jc w:val="center"/>
              <w:rPr>
                <w:rFonts w:cs="Arial"/>
              </w:rPr>
            </w:pPr>
          </w:p>
        </w:tc>
      </w:tr>
      <w:tr w:rsidR="00EC645B" w:rsidRPr="00247B27" w:rsidTr="00EC645B">
        <w:trPr>
          <w:cantSplit/>
        </w:trPr>
        <w:tc>
          <w:tcPr>
            <w:tcW w:w="7085" w:type="dxa"/>
          </w:tcPr>
          <w:p w:rsidR="00EC645B" w:rsidRPr="00247B27" w:rsidRDefault="00EC645B" w:rsidP="001D3E96">
            <w:pPr>
              <w:rPr>
                <w:rFonts w:cs="Arial"/>
              </w:rPr>
            </w:pPr>
          </w:p>
          <w:p w:rsidR="00EC645B" w:rsidRPr="00247B27" w:rsidRDefault="00EC645B" w:rsidP="001D3E96">
            <w:pPr>
              <w:rPr>
                <w:rFonts w:cs="Arial"/>
              </w:rPr>
            </w:pPr>
            <w:r w:rsidRPr="00247B27">
              <w:rPr>
                <w:rFonts w:cs="Arial"/>
              </w:rPr>
              <w:t xml:space="preserve">Does </w:t>
            </w:r>
            <w:proofErr w:type="gramStart"/>
            <w:r w:rsidRPr="00247B27">
              <w:rPr>
                <w:rFonts w:cs="Arial"/>
              </w:rPr>
              <w:t>the complaint appear to be a “tit-for-tat” or submitted as purely revengeful</w:t>
            </w:r>
            <w:proofErr w:type="gramEnd"/>
            <w:r w:rsidRPr="00247B27">
              <w:rPr>
                <w:rFonts w:cs="Arial"/>
              </w:rPr>
              <w:t>?</w:t>
            </w:r>
          </w:p>
        </w:tc>
        <w:tc>
          <w:tcPr>
            <w:tcW w:w="1080" w:type="dxa"/>
          </w:tcPr>
          <w:p w:rsidR="00EC645B" w:rsidRPr="00247B27" w:rsidRDefault="00EC645B" w:rsidP="001D3E96">
            <w:pPr>
              <w:jc w:val="center"/>
              <w:rPr>
                <w:rFonts w:cs="Arial"/>
              </w:rPr>
            </w:pPr>
          </w:p>
        </w:tc>
        <w:tc>
          <w:tcPr>
            <w:tcW w:w="1080" w:type="dxa"/>
          </w:tcPr>
          <w:p w:rsidR="00EC645B" w:rsidRPr="00247B27" w:rsidRDefault="00EC645B" w:rsidP="001D3E96">
            <w:pPr>
              <w:jc w:val="center"/>
              <w:rPr>
                <w:rFonts w:cs="Arial"/>
              </w:rPr>
            </w:pPr>
          </w:p>
        </w:tc>
      </w:tr>
      <w:tr w:rsidR="00EC645B" w:rsidRPr="00247B27" w:rsidTr="00EC645B">
        <w:trPr>
          <w:cantSplit/>
        </w:trPr>
        <w:tc>
          <w:tcPr>
            <w:tcW w:w="7085" w:type="dxa"/>
          </w:tcPr>
          <w:p w:rsidR="00EC645B" w:rsidRPr="00247B27" w:rsidRDefault="00EC645B" w:rsidP="001D3E96">
            <w:pPr>
              <w:rPr>
                <w:rFonts w:cs="Arial"/>
              </w:rPr>
            </w:pPr>
          </w:p>
          <w:p w:rsidR="00EC645B" w:rsidRPr="00247B27" w:rsidRDefault="00EC645B" w:rsidP="001D3E96">
            <w:pPr>
              <w:rPr>
                <w:rFonts w:cs="Arial"/>
              </w:rPr>
            </w:pPr>
            <w:r w:rsidRPr="00247B27">
              <w:rPr>
                <w:rFonts w:cs="Arial"/>
              </w:rPr>
              <w:t>Has the complaint been submitted by a persistent complainer?</w:t>
            </w:r>
          </w:p>
        </w:tc>
        <w:tc>
          <w:tcPr>
            <w:tcW w:w="1080" w:type="dxa"/>
          </w:tcPr>
          <w:p w:rsidR="00EC645B" w:rsidRPr="00247B27" w:rsidRDefault="00EC645B" w:rsidP="001D3E96">
            <w:pPr>
              <w:jc w:val="center"/>
              <w:rPr>
                <w:rFonts w:cs="Arial"/>
              </w:rPr>
            </w:pPr>
          </w:p>
        </w:tc>
        <w:tc>
          <w:tcPr>
            <w:tcW w:w="1080" w:type="dxa"/>
          </w:tcPr>
          <w:p w:rsidR="00EC645B" w:rsidRPr="00247B27" w:rsidRDefault="00EC645B" w:rsidP="001D3E96">
            <w:pPr>
              <w:jc w:val="center"/>
              <w:rPr>
                <w:rFonts w:cs="Arial"/>
              </w:rPr>
            </w:pPr>
          </w:p>
        </w:tc>
      </w:tr>
    </w:tbl>
    <w:p w:rsidR="00EC645B" w:rsidRDefault="00EC645B" w:rsidP="00EC645B">
      <w:r>
        <w:br w:type="page"/>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5"/>
        <w:gridCol w:w="1080"/>
        <w:gridCol w:w="1080"/>
      </w:tblGrid>
      <w:tr w:rsidR="00EC645B" w:rsidRPr="00247B27" w:rsidTr="00EC645B">
        <w:trPr>
          <w:cantSplit/>
        </w:trPr>
        <w:tc>
          <w:tcPr>
            <w:tcW w:w="7085" w:type="dxa"/>
          </w:tcPr>
          <w:p w:rsidR="00EC645B" w:rsidRPr="00247B27" w:rsidRDefault="00EC645B" w:rsidP="001D3E96">
            <w:pPr>
              <w:rPr>
                <w:rFonts w:cs="Arial"/>
              </w:rPr>
            </w:pPr>
          </w:p>
        </w:tc>
        <w:tc>
          <w:tcPr>
            <w:tcW w:w="1080" w:type="dxa"/>
          </w:tcPr>
          <w:p w:rsidR="00EC645B" w:rsidRPr="00247B27" w:rsidRDefault="00EC645B" w:rsidP="001D3E96">
            <w:pPr>
              <w:jc w:val="center"/>
              <w:rPr>
                <w:rFonts w:cs="Arial"/>
              </w:rPr>
            </w:pPr>
          </w:p>
          <w:p w:rsidR="00EC645B" w:rsidRPr="00247B27" w:rsidRDefault="00EC645B" w:rsidP="001D3E96">
            <w:pPr>
              <w:jc w:val="center"/>
              <w:rPr>
                <w:rFonts w:cs="Arial"/>
                <w:b/>
              </w:rPr>
            </w:pPr>
            <w:r w:rsidRPr="00247B27">
              <w:rPr>
                <w:rFonts w:cs="Arial"/>
                <w:b/>
              </w:rPr>
              <w:t>Yes</w:t>
            </w:r>
          </w:p>
        </w:tc>
        <w:tc>
          <w:tcPr>
            <w:tcW w:w="1080" w:type="dxa"/>
          </w:tcPr>
          <w:p w:rsidR="00EC645B" w:rsidRPr="00247B27" w:rsidRDefault="00EC645B" w:rsidP="001D3E96">
            <w:pPr>
              <w:jc w:val="center"/>
              <w:rPr>
                <w:rFonts w:cs="Arial"/>
              </w:rPr>
            </w:pPr>
          </w:p>
          <w:p w:rsidR="00EC645B" w:rsidRPr="00247B27" w:rsidRDefault="00EC645B" w:rsidP="001D3E96">
            <w:pPr>
              <w:jc w:val="center"/>
              <w:rPr>
                <w:rFonts w:cs="Arial"/>
                <w:b/>
              </w:rPr>
            </w:pPr>
            <w:r w:rsidRPr="00247B27">
              <w:rPr>
                <w:rFonts w:cs="Arial"/>
                <w:b/>
              </w:rPr>
              <w:t>No</w:t>
            </w:r>
          </w:p>
        </w:tc>
      </w:tr>
      <w:tr w:rsidR="00EC645B" w:rsidRPr="00247B27" w:rsidTr="00EC645B">
        <w:trPr>
          <w:cantSplit/>
        </w:trPr>
        <w:tc>
          <w:tcPr>
            <w:tcW w:w="7085" w:type="dxa"/>
          </w:tcPr>
          <w:p w:rsidR="00EC645B" w:rsidRPr="00247B27" w:rsidRDefault="00EC645B" w:rsidP="001D3E96">
            <w:pPr>
              <w:rPr>
                <w:rFonts w:cs="Arial"/>
              </w:rPr>
            </w:pPr>
          </w:p>
          <w:p w:rsidR="00EC645B" w:rsidRPr="00247B27" w:rsidRDefault="00EC645B" w:rsidP="001D3E96">
            <w:pPr>
              <w:rPr>
                <w:rFonts w:cs="Arial"/>
              </w:rPr>
            </w:pPr>
            <w:r w:rsidRPr="00247B27">
              <w:rPr>
                <w:rFonts w:cs="Arial"/>
              </w:rPr>
              <w:t>Is the conduct part of a continuing pattern of less serious misconduct?</w:t>
            </w:r>
          </w:p>
        </w:tc>
        <w:tc>
          <w:tcPr>
            <w:tcW w:w="1080" w:type="dxa"/>
          </w:tcPr>
          <w:p w:rsidR="00EC645B" w:rsidRPr="00247B27" w:rsidRDefault="00EC645B" w:rsidP="001D3E96">
            <w:pPr>
              <w:jc w:val="center"/>
              <w:rPr>
                <w:rFonts w:cs="Arial"/>
              </w:rPr>
            </w:pPr>
          </w:p>
        </w:tc>
        <w:tc>
          <w:tcPr>
            <w:tcW w:w="1080" w:type="dxa"/>
          </w:tcPr>
          <w:p w:rsidR="00EC645B" w:rsidRPr="00247B27" w:rsidRDefault="00EC645B" w:rsidP="001D3E96">
            <w:pPr>
              <w:jc w:val="center"/>
              <w:rPr>
                <w:rFonts w:cs="Arial"/>
              </w:rPr>
            </w:pPr>
          </w:p>
        </w:tc>
      </w:tr>
      <w:tr w:rsidR="00EC645B" w:rsidRPr="00247B27" w:rsidTr="00EC645B">
        <w:trPr>
          <w:cantSplit/>
        </w:trPr>
        <w:tc>
          <w:tcPr>
            <w:tcW w:w="7085" w:type="dxa"/>
          </w:tcPr>
          <w:p w:rsidR="00EC645B" w:rsidRPr="00247B27" w:rsidRDefault="00EC645B" w:rsidP="001D3E96">
            <w:pPr>
              <w:rPr>
                <w:rFonts w:cs="Arial"/>
              </w:rPr>
            </w:pPr>
          </w:p>
          <w:p w:rsidR="00EC645B" w:rsidRPr="00247B27" w:rsidRDefault="00EC645B" w:rsidP="001D3E96">
            <w:pPr>
              <w:rPr>
                <w:rFonts w:cs="Arial"/>
              </w:rPr>
            </w:pPr>
            <w:r w:rsidRPr="00247B27">
              <w:rPr>
                <w:rFonts w:cs="Arial"/>
              </w:rPr>
              <w:t>Do these complaints indicate a wider problem at the Authority or a breakdown in relationships?</w:t>
            </w:r>
          </w:p>
        </w:tc>
        <w:tc>
          <w:tcPr>
            <w:tcW w:w="1080" w:type="dxa"/>
          </w:tcPr>
          <w:p w:rsidR="00EC645B" w:rsidRPr="00247B27" w:rsidRDefault="00EC645B" w:rsidP="001D3E96">
            <w:pPr>
              <w:jc w:val="center"/>
              <w:rPr>
                <w:rFonts w:cs="Arial"/>
              </w:rPr>
            </w:pPr>
          </w:p>
        </w:tc>
        <w:tc>
          <w:tcPr>
            <w:tcW w:w="1080" w:type="dxa"/>
          </w:tcPr>
          <w:p w:rsidR="00EC645B" w:rsidRPr="00247B27" w:rsidRDefault="00EC645B" w:rsidP="001D3E96">
            <w:pPr>
              <w:jc w:val="center"/>
              <w:rPr>
                <w:rFonts w:cs="Arial"/>
              </w:rPr>
            </w:pPr>
          </w:p>
        </w:tc>
      </w:tr>
      <w:tr w:rsidR="00EC645B" w:rsidRPr="00247B27" w:rsidTr="00EC645B">
        <w:trPr>
          <w:cantSplit/>
        </w:trPr>
        <w:tc>
          <w:tcPr>
            <w:tcW w:w="7085" w:type="dxa"/>
          </w:tcPr>
          <w:p w:rsidR="00EC645B" w:rsidRPr="00247B27" w:rsidRDefault="00EC645B" w:rsidP="001D3E96">
            <w:pPr>
              <w:rPr>
                <w:rFonts w:cs="Arial"/>
              </w:rPr>
            </w:pPr>
          </w:p>
          <w:p w:rsidR="00EC645B" w:rsidRPr="00247B27" w:rsidRDefault="00EC645B" w:rsidP="001D3E96">
            <w:pPr>
              <w:rPr>
                <w:rFonts w:cs="Arial"/>
              </w:rPr>
            </w:pPr>
            <w:r w:rsidRPr="00247B27">
              <w:rPr>
                <w:rFonts w:cs="Arial"/>
              </w:rPr>
              <w:t>Is the complaint anonymous?</w:t>
            </w:r>
          </w:p>
        </w:tc>
        <w:tc>
          <w:tcPr>
            <w:tcW w:w="1080" w:type="dxa"/>
          </w:tcPr>
          <w:p w:rsidR="00EC645B" w:rsidRPr="00247B27" w:rsidRDefault="00EC645B" w:rsidP="001D3E96">
            <w:pPr>
              <w:jc w:val="center"/>
              <w:rPr>
                <w:rFonts w:cs="Arial"/>
              </w:rPr>
            </w:pPr>
          </w:p>
        </w:tc>
        <w:tc>
          <w:tcPr>
            <w:tcW w:w="1080" w:type="dxa"/>
          </w:tcPr>
          <w:p w:rsidR="00EC645B" w:rsidRPr="00247B27" w:rsidRDefault="00EC645B" w:rsidP="001D3E96">
            <w:pPr>
              <w:jc w:val="center"/>
              <w:rPr>
                <w:rFonts w:cs="Arial"/>
              </w:rPr>
            </w:pPr>
          </w:p>
        </w:tc>
      </w:tr>
      <w:tr w:rsidR="00EC645B" w:rsidRPr="00247B27" w:rsidTr="00EC645B">
        <w:trPr>
          <w:cantSplit/>
        </w:trPr>
        <w:tc>
          <w:tcPr>
            <w:tcW w:w="7085" w:type="dxa"/>
          </w:tcPr>
          <w:p w:rsidR="00EC645B" w:rsidRPr="00247B27" w:rsidRDefault="00EC645B" w:rsidP="001D3E96">
            <w:pPr>
              <w:rPr>
                <w:rFonts w:cs="Arial"/>
              </w:rPr>
            </w:pPr>
          </w:p>
          <w:p w:rsidR="00EC645B" w:rsidRPr="00247B27" w:rsidRDefault="00EC645B" w:rsidP="001D3E96">
            <w:pPr>
              <w:rPr>
                <w:rFonts w:cs="Arial"/>
              </w:rPr>
            </w:pPr>
            <w:r w:rsidRPr="00247B27">
              <w:rPr>
                <w:rFonts w:cs="Arial"/>
              </w:rPr>
              <w:t xml:space="preserve">Is there a request by the complainant that his or her identity </w:t>
            </w:r>
            <w:proofErr w:type="gramStart"/>
            <w:r w:rsidRPr="00247B27">
              <w:rPr>
                <w:rFonts w:cs="Arial"/>
              </w:rPr>
              <w:t>be withheld</w:t>
            </w:r>
            <w:proofErr w:type="gramEnd"/>
            <w:r w:rsidRPr="00247B27">
              <w:rPr>
                <w:rFonts w:cs="Arial"/>
              </w:rPr>
              <w:t>?</w:t>
            </w:r>
          </w:p>
        </w:tc>
        <w:tc>
          <w:tcPr>
            <w:tcW w:w="1080" w:type="dxa"/>
          </w:tcPr>
          <w:p w:rsidR="00EC645B" w:rsidRPr="00247B27" w:rsidRDefault="00EC645B" w:rsidP="001D3E96">
            <w:pPr>
              <w:jc w:val="center"/>
              <w:rPr>
                <w:rFonts w:cs="Arial"/>
              </w:rPr>
            </w:pPr>
          </w:p>
        </w:tc>
        <w:tc>
          <w:tcPr>
            <w:tcW w:w="1080" w:type="dxa"/>
          </w:tcPr>
          <w:p w:rsidR="00EC645B" w:rsidRPr="00247B27" w:rsidRDefault="00EC645B" w:rsidP="001D3E96">
            <w:pPr>
              <w:jc w:val="center"/>
              <w:rPr>
                <w:rFonts w:cs="Arial"/>
              </w:rPr>
            </w:pPr>
          </w:p>
        </w:tc>
      </w:tr>
      <w:tr w:rsidR="00787001" w:rsidRPr="00247B27" w:rsidTr="00293A7B">
        <w:trPr>
          <w:cantSplit/>
        </w:trPr>
        <w:tc>
          <w:tcPr>
            <w:tcW w:w="9245" w:type="dxa"/>
            <w:gridSpan w:val="3"/>
          </w:tcPr>
          <w:p w:rsidR="00787001" w:rsidRPr="00787001" w:rsidRDefault="00787001" w:rsidP="00787001">
            <w:pPr>
              <w:rPr>
                <w:rFonts w:cs="Arial"/>
              </w:rPr>
            </w:pPr>
          </w:p>
          <w:p w:rsidR="00787001" w:rsidRPr="00247B27" w:rsidRDefault="00787001" w:rsidP="00787001">
            <w:pPr>
              <w:rPr>
                <w:rFonts w:cs="Arial"/>
              </w:rPr>
            </w:pPr>
            <w:r w:rsidRPr="00787001">
              <w:rPr>
                <w:rFonts w:cs="Arial"/>
                <w:u w:val="single"/>
              </w:rPr>
              <w:t>Outcome of the public interest assessment</w:t>
            </w:r>
          </w:p>
        </w:tc>
      </w:tr>
      <w:tr w:rsidR="00153E58" w:rsidRPr="00247B27" w:rsidTr="00564E34">
        <w:trPr>
          <w:cantSplit/>
        </w:trPr>
        <w:tc>
          <w:tcPr>
            <w:tcW w:w="9245" w:type="dxa"/>
            <w:gridSpan w:val="3"/>
          </w:tcPr>
          <w:p w:rsidR="00153E58" w:rsidRDefault="00153E58" w:rsidP="001D3E96">
            <w:pPr>
              <w:jc w:val="center"/>
              <w:rPr>
                <w:rFonts w:cs="Arial"/>
              </w:rPr>
            </w:pPr>
          </w:p>
          <w:p w:rsidR="00153E58" w:rsidRPr="00153E58" w:rsidRDefault="00153E58" w:rsidP="00153E58">
            <w:pPr>
              <w:rPr>
                <w:rFonts w:cs="Arial"/>
                <w:u w:val="single"/>
              </w:rPr>
            </w:pPr>
            <w:r>
              <w:rPr>
                <w:rFonts w:cs="Arial"/>
                <w:b/>
                <w:u w:val="single"/>
              </w:rPr>
              <w:t>Section 3</w:t>
            </w:r>
          </w:p>
        </w:tc>
      </w:tr>
      <w:tr w:rsidR="00153E58" w:rsidRPr="00247B27" w:rsidTr="00EC645B">
        <w:trPr>
          <w:cantSplit/>
        </w:trPr>
        <w:tc>
          <w:tcPr>
            <w:tcW w:w="7085" w:type="dxa"/>
          </w:tcPr>
          <w:p w:rsidR="00153E58" w:rsidRPr="00787001" w:rsidRDefault="00153E58" w:rsidP="001D3E96">
            <w:pPr>
              <w:rPr>
                <w:rFonts w:cs="Arial"/>
              </w:rPr>
            </w:pPr>
          </w:p>
          <w:p w:rsidR="00153E58" w:rsidRPr="00787001" w:rsidRDefault="00153E58" w:rsidP="001D3E96">
            <w:pPr>
              <w:rPr>
                <w:rFonts w:cs="Arial"/>
              </w:rPr>
            </w:pPr>
            <w:r w:rsidRPr="00787001">
              <w:rPr>
                <w:rFonts w:cs="Arial"/>
              </w:rPr>
              <w:t>Is there enough information for the sub-committee to make a decision?</w:t>
            </w:r>
          </w:p>
        </w:tc>
        <w:tc>
          <w:tcPr>
            <w:tcW w:w="1080" w:type="dxa"/>
          </w:tcPr>
          <w:p w:rsidR="00153E58" w:rsidRPr="00247B27" w:rsidRDefault="00153E58" w:rsidP="001D3E96">
            <w:pPr>
              <w:jc w:val="center"/>
              <w:rPr>
                <w:rFonts w:cs="Arial"/>
              </w:rPr>
            </w:pPr>
          </w:p>
        </w:tc>
        <w:tc>
          <w:tcPr>
            <w:tcW w:w="1080" w:type="dxa"/>
          </w:tcPr>
          <w:p w:rsidR="00153E58" w:rsidRPr="00247B27" w:rsidRDefault="00153E58" w:rsidP="001D3E96">
            <w:pPr>
              <w:jc w:val="center"/>
              <w:rPr>
                <w:rFonts w:cs="Arial"/>
              </w:rPr>
            </w:pPr>
          </w:p>
        </w:tc>
      </w:tr>
      <w:tr w:rsidR="00153E58" w:rsidRPr="00247B27" w:rsidTr="00EC645B">
        <w:trPr>
          <w:cantSplit/>
        </w:trPr>
        <w:tc>
          <w:tcPr>
            <w:tcW w:w="7085" w:type="dxa"/>
          </w:tcPr>
          <w:p w:rsidR="00153E58" w:rsidRPr="00787001" w:rsidRDefault="00153E58" w:rsidP="001D3E96">
            <w:pPr>
              <w:rPr>
                <w:rFonts w:cs="Arial"/>
              </w:rPr>
            </w:pPr>
          </w:p>
          <w:p w:rsidR="00153E58" w:rsidRPr="00787001" w:rsidRDefault="00153E58" w:rsidP="001D3E96">
            <w:pPr>
              <w:rPr>
                <w:rFonts w:cs="Arial"/>
              </w:rPr>
            </w:pPr>
            <w:r w:rsidRPr="00787001">
              <w:rPr>
                <w:rFonts w:cs="Arial"/>
              </w:rPr>
              <w:t>In consideration of the above factors, is it in the public interest to take further action in respect of the complaint?</w:t>
            </w:r>
          </w:p>
        </w:tc>
        <w:tc>
          <w:tcPr>
            <w:tcW w:w="1080" w:type="dxa"/>
          </w:tcPr>
          <w:p w:rsidR="00153E58" w:rsidRPr="00247B27" w:rsidRDefault="00153E58" w:rsidP="001D3E96">
            <w:pPr>
              <w:jc w:val="center"/>
              <w:rPr>
                <w:rFonts w:cs="Arial"/>
              </w:rPr>
            </w:pPr>
          </w:p>
        </w:tc>
        <w:tc>
          <w:tcPr>
            <w:tcW w:w="1080" w:type="dxa"/>
          </w:tcPr>
          <w:p w:rsidR="00153E58" w:rsidRPr="00247B27" w:rsidRDefault="00153E58" w:rsidP="001D3E96">
            <w:pPr>
              <w:jc w:val="center"/>
              <w:rPr>
                <w:rFonts w:cs="Arial"/>
              </w:rPr>
            </w:pPr>
          </w:p>
        </w:tc>
      </w:tr>
      <w:tr w:rsidR="00EC645B" w:rsidRPr="00247B27" w:rsidTr="00EC645B">
        <w:trPr>
          <w:cantSplit/>
        </w:trPr>
        <w:tc>
          <w:tcPr>
            <w:tcW w:w="9245" w:type="dxa"/>
            <w:gridSpan w:val="3"/>
          </w:tcPr>
          <w:p w:rsidR="00EC645B" w:rsidRPr="00247B27" w:rsidRDefault="00EC645B" w:rsidP="001D3E96">
            <w:pPr>
              <w:rPr>
                <w:rFonts w:cs="Arial"/>
              </w:rPr>
            </w:pPr>
          </w:p>
          <w:p w:rsidR="00EC645B" w:rsidRPr="00153E58" w:rsidRDefault="00153E58" w:rsidP="00787001">
            <w:pPr>
              <w:rPr>
                <w:rFonts w:cs="Arial"/>
                <w:u w:val="single"/>
              </w:rPr>
            </w:pPr>
            <w:r>
              <w:rPr>
                <w:rFonts w:cs="Arial"/>
                <w:b/>
              </w:rPr>
              <w:t xml:space="preserve">Section </w:t>
            </w:r>
            <w:r w:rsidR="00787001">
              <w:rPr>
                <w:rFonts w:cs="Arial"/>
                <w:b/>
                <w:strike/>
              </w:rPr>
              <w:t>4</w:t>
            </w:r>
          </w:p>
        </w:tc>
      </w:tr>
      <w:tr w:rsidR="00EC645B" w:rsidRPr="00247B27" w:rsidTr="00EC645B">
        <w:trPr>
          <w:cantSplit/>
        </w:trPr>
        <w:tc>
          <w:tcPr>
            <w:tcW w:w="7085" w:type="dxa"/>
          </w:tcPr>
          <w:p w:rsidR="00EC645B" w:rsidRPr="00247B27" w:rsidRDefault="00EC645B" w:rsidP="001D3E96">
            <w:pPr>
              <w:rPr>
                <w:rFonts w:cs="Arial"/>
              </w:rPr>
            </w:pPr>
          </w:p>
          <w:p w:rsidR="00EC645B" w:rsidRPr="00247B27" w:rsidRDefault="00EC645B" w:rsidP="001D3E96">
            <w:pPr>
              <w:rPr>
                <w:rFonts w:cs="Arial"/>
              </w:rPr>
            </w:pPr>
            <w:r w:rsidRPr="00247B27">
              <w:rPr>
                <w:rFonts w:cs="Arial"/>
                <w:b/>
              </w:rPr>
              <w:t>Assessment</w:t>
            </w:r>
          </w:p>
          <w:p w:rsidR="00EC645B" w:rsidRPr="00247B27" w:rsidRDefault="00EC645B" w:rsidP="001D3E96">
            <w:pPr>
              <w:rPr>
                <w:rFonts w:cs="Arial"/>
              </w:rPr>
            </w:pPr>
          </w:p>
          <w:p w:rsidR="00EC645B" w:rsidRPr="00247B27" w:rsidRDefault="00EC645B" w:rsidP="001D3E96">
            <w:pPr>
              <w:rPr>
                <w:rFonts w:cs="Arial"/>
              </w:rPr>
            </w:pPr>
            <w:r w:rsidRPr="00247B27">
              <w:rPr>
                <w:rFonts w:cs="Arial"/>
              </w:rPr>
              <w:t>The Initial Assessment Sub-committee decide to:</w:t>
            </w:r>
          </w:p>
          <w:p w:rsidR="00EC645B" w:rsidRPr="00247B27" w:rsidRDefault="00EC645B" w:rsidP="001D3E96">
            <w:pPr>
              <w:rPr>
                <w:rFonts w:cs="Arial"/>
              </w:rPr>
            </w:pPr>
          </w:p>
          <w:p w:rsidR="00EC645B" w:rsidRPr="00247B27" w:rsidRDefault="00EC645B" w:rsidP="001D3E96">
            <w:pPr>
              <w:ind w:left="360" w:hanging="360"/>
              <w:rPr>
                <w:rFonts w:cs="Arial"/>
              </w:rPr>
            </w:pPr>
            <w:r w:rsidRPr="00247B27">
              <w:rPr>
                <w:rFonts w:cs="Arial"/>
              </w:rPr>
              <w:t>1.</w:t>
            </w:r>
            <w:r w:rsidRPr="00247B27">
              <w:rPr>
                <w:rFonts w:cs="Arial"/>
              </w:rPr>
              <w:tab/>
              <w:t>Take no further action until further information received.</w:t>
            </w:r>
          </w:p>
          <w:p w:rsidR="00EC645B" w:rsidRPr="00247B27" w:rsidRDefault="00EC645B" w:rsidP="001D3E96">
            <w:pPr>
              <w:ind w:left="360" w:hanging="360"/>
              <w:rPr>
                <w:rFonts w:cs="Arial"/>
              </w:rPr>
            </w:pPr>
          </w:p>
          <w:p w:rsidR="00EC645B" w:rsidRPr="00247B27" w:rsidRDefault="00EC645B" w:rsidP="001D3E96">
            <w:pPr>
              <w:ind w:left="360" w:hanging="360"/>
              <w:rPr>
                <w:rFonts w:cs="Arial"/>
              </w:rPr>
            </w:pPr>
            <w:r w:rsidRPr="00247B27">
              <w:rPr>
                <w:rFonts w:cs="Arial"/>
              </w:rPr>
              <w:t>2.</w:t>
            </w:r>
            <w:r w:rsidRPr="00247B27">
              <w:rPr>
                <w:rFonts w:cs="Arial"/>
              </w:rPr>
              <w:tab/>
              <w:t>Take no further action.</w:t>
            </w:r>
          </w:p>
          <w:p w:rsidR="00EC645B" w:rsidRPr="00247B27" w:rsidRDefault="00EC645B" w:rsidP="001D3E96">
            <w:pPr>
              <w:ind w:left="360" w:hanging="360"/>
              <w:rPr>
                <w:rFonts w:cs="Arial"/>
              </w:rPr>
            </w:pPr>
          </w:p>
          <w:p w:rsidR="00EC645B" w:rsidRPr="00247B27" w:rsidRDefault="00EC645B" w:rsidP="001D3E96">
            <w:pPr>
              <w:ind w:left="360" w:hanging="360"/>
              <w:rPr>
                <w:rFonts w:cs="Arial"/>
              </w:rPr>
            </w:pPr>
            <w:r w:rsidRPr="00247B27">
              <w:rPr>
                <w:rFonts w:cs="Arial"/>
              </w:rPr>
              <w:t>3.</w:t>
            </w:r>
            <w:r w:rsidRPr="00247B27">
              <w:rPr>
                <w:rFonts w:cs="Arial"/>
              </w:rPr>
              <w:tab/>
              <w:t>Refer to the MO for other action.</w:t>
            </w:r>
          </w:p>
          <w:p w:rsidR="00EC645B" w:rsidRPr="00247B27" w:rsidRDefault="00EC645B" w:rsidP="001D3E96">
            <w:pPr>
              <w:ind w:left="360" w:hanging="360"/>
              <w:rPr>
                <w:rFonts w:cs="Arial"/>
              </w:rPr>
            </w:pPr>
          </w:p>
          <w:p w:rsidR="00EC645B" w:rsidRPr="00247B27" w:rsidRDefault="00EC645B" w:rsidP="001D3E96">
            <w:pPr>
              <w:ind w:left="360" w:hanging="360"/>
              <w:rPr>
                <w:rFonts w:cs="Arial"/>
              </w:rPr>
            </w:pPr>
            <w:r w:rsidRPr="00247B27">
              <w:rPr>
                <w:rFonts w:cs="Arial"/>
              </w:rPr>
              <w:t>4.</w:t>
            </w:r>
            <w:r w:rsidRPr="00247B27">
              <w:rPr>
                <w:rFonts w:cs="Arial"/>
              </w:rPr>
              <w:tab/>
              <w:t>Refer to the MO for Investigation.</w:t>
            </w:r>
          </w:p>
          <w:p w:rsidR="00EC645B" w:rsidRPr="00247B27" w:rsidRDefault="00EC645B" w:rsidP="001D3E96">
            <w:pPr>
              <w:ind w:left="360" w:hanging="360"/>
              <w:rPr>
                <w:rFonts w:cs="Arial"/>
              </w:rPr>
            </w:pPr>
          </w:p>
          <w:p w:rsidR="00EC645B" w:rsidRPr="00247B27" w:rsidRDefault="00EC645B" w:rsidP="001D3E96">
            <w:pPr>
              <w:ind w:left="360" w:hanging="360"/>
              <w:rPr>
                <w:rFonts w:cs="Arial"/>
              </w:rPr>
            </w:pPr>
          </w:p>
        </w:tc>
        <w:tc>
          <w:tcPr>
            <w:tcW w:w="1080" w:type="dxa"/>
          </w:tcPr>
          <w:p w:rsidR="00EC645B" w:rsidRPr="00247B27" w:rsidRDefault="00EC645B" w:rsidP="001D3E96">
            <w:pPr>
              <w:jc w:val="center"/>
              <w:rPr>
                <w:rFonts w:cs="Arial"/>
              </w:rPr>
            </w:pPr>
          </w:p>
        </w:tc>
        <w:tc>
          <w:tcPr>
            <w:tcW w:w="1080" w:type="dxa"/>
          </w:tcPr>
          <w:p w:rsidR="00EC645B" w:rsidRPr="00247B27" w:rsidRDefault="00EC645B" w:rsidP="001D3E96">
            <w:pPr>
              <w:jc w:val="center"/>
              <w:rPr>
                <w:rFonts w:cs="Arial"/>
              </w:rPr>
            </w:pPr>
          </w:p>
        </w:tc>
      </w:tr>
      <w:tr w:rsidR="00EC645B" w:rsidRPr="00247B27" w:rsidTr="00EC645B">
        <w:trPr>
          <w:cantSplit/>
        </w:trPr>
        <w:tc>
          <w:tcPr>
            <w:tcW w:w="7085" w:type="dxa"/>
          </w:tcPr>
          <w:p w:rsidR="00EC645B" w:rsidRPr="00247B27" w:rsidRDefault="00EC645B" w:rsidP="001D3E96">
            <w:pPr>
              <w:rPr>
                <w:rFonts w:cs="Arial"/>
              </w:rPr>
            </w:pPr>
          </w:p>
          <w:p w:rsidR="00EC645B" w:rsidRPr="00247B27" w:rsidRDefault="00EC645B" w:rsidP="001D3E96">
            <w:pPr>
              <w:rPr>
                <w:rFonts w:cs="Arial"/>
              </w:rPr>
            </w:pPr>
            <w:r w:rsidRPr="00247B27">
              <w:rPr>
                <w:rFonts w:cs="Arial"/>
              </w:rPr>
              <w:t>Reason for decision:</w:t>
            </w:r>
          </w:p>
          <w:p w:rsidR="00EC645B" w:rsidRPr="00247B27" w:rsidRDefault="00EC645B" w:rsidP="001D3E96">
            <w:pPr>
              <w:rPr>
                <w:rFonts w:cs="Arial"/>
              </w:rPr>
            </w:pPr>
          </w:p>
          <w:p w:rsidR="00EC645B" w:rsidRPr="00247B27" w:rsidRDefault="00EC645B" w:rsidP="001D3E96">
            <w:pPr>
              <w:ind w:left="360" w:hanging="360"/>
              <w:rPr>
                <w:rFonts w:cs="Arial"/>
              </w:rPr>
            </w:pPr>
            <w:r w:rsidRPr="00247B27">
              <w:rPr>
                <w:rFonts w:cs="Arial"/>
              </w:rPr>
              <w:t>1.</w:t>
            </w:r>
          </w:p>
          <w:p w:rsidR="00EC645B" w:rsidRPr="00247B27" w:rsidRDefault="00EC645B" w:rsidP="001D3E96">
            <w:pPr>
              <w:ind w:left="360" w:hanging="360"/>
              <w:rPr>
                <w:rFonts w:cs="Arial"/>
              </w:rPr>
            </w:pPr>
          </w:p>
          <w:p w:rsidR="00EC645B" w:rsidRPr="00247B27" w:rsidRDefault="00EC645B" w:rsidP="001D3E96">
            <w:pPr>
              <w:ind w:left="360" w:hanging="360"/>
              <w:rPr>
                <w:rFonts w:cs="Arial"/>
              </w:rPr>
            </w:pPr>
            <w:r w:rsidRPr="00247B27">
              <w:rPr>
                <w:rFonts w:cs="Arial"/>
              </w:rPr>
              <w:t>2.</w:t>
            </w:r>
          </w:p>
          <w:p w:rsidR="00EC645B" w:rsidRPr="00247B27" w:rsidRDefault="00EC645B" w:rsidP="001D3E96">
            <w:pPr>
              <w:ind w:left="360" w:hanging="360"/>
              <w:rPr>
                <w:rFonts w:cs="Arial"/>
              </w:rPr>
            </w:pPr>
          </w:p>
          <w:p w:rsidR="00EC645B" w:rsidRPr="00247B27" w:rsidRDefault="00EC645B" w:rsidP="001D3E96">
            <w:pPr>
              <w:ind w:left="360" w:hanging="360"/>
              <w:rPr>
                <w:rFonts w:cs="Arial"/>
              </w:rPr>
            </w:pPr>
            <w:r w:rsidRPr="00247B27">
              <w:rPr>
                <w:rFonts w:cs="Arial"/>
              </w:rPr>
              <w:t>3.</w:t>
            </w:r>
          </w:p>
          <w:p w:rsidR="00EC645B" w:rsidRPr="00247B27" w:rsidRDefault="00EC645B" w:rsidP="001D3E96">
            <w:pPr>
              <w:ind w:left="360" w:hanging="360"/>
              <w:rPr>
                <w:rFonts w:cs="Arial"/>
              </w:rPr>
            </w:pPr>
          </w:p>
          <w:p w:rsidR="00EC645B" w:rsidRPr="00247B27" w:rsidRDefault="00EC645B" w:rsidP="001D3E96">
            <w:pPr>
              <w:rPr>
                <w:rFonts w:cs="Arial"/>
              </w:rPr>
            </w:pPr>
            <w:r w:rsidRPr="00247B27">
              <w:rPr>
                <w:rFonts w:cs="Arial"/>
              </w:rPr>
              <w:t>4.</w:t>
            </w:r>
          </w:p>
        </w:tc>
        <w:tc>
          <w:tcPr>
            <w:tcW w:w="1080" w:type="dxa"/>
          </w:tcPr>
          <w:p w:rsidR="00EC645B" w:rsidRPr="00247B27" w:rsidRDefault="00EC645B" w:rsidP="001D3E96">
            <w:pPr>
              <w:jc w:val="center"/>
              <w:rPr>
                <w:rFonts w:cs="Arial"/>
              </w:rPr>
            </w:pPr>
          </w:p>
        </w:tc>
        <w:tc>
          <w:tcPr>
            <w:tcW w:w="1080" w:type="dxa"/>
          </w:tcPr>
          <w:p w:rsidR="00EC645B" w:rsidRPr="00247B27" w:rsidRDefault="00EC645B" w:rsidP="001D3E96">
            <w:pPr>
              <w:jc w:val="center"/>
              <w:rPr>
                <w:rFonts w:cs="Arial"/>
              </w:rPr>
            </w:pPr>
          </w:p>
        </w:tc>
      </w:tr>
    </w:tbl>
    <w:p w:rsidR="00EC645B" w:rsidRPr="00985CC7" w:rsidRDefault="00EC645B" w:rsidP="00EC645B">
      <w:pPr>
        <w:jc w:val="both"/>
        <w:rPr>
          <w:rFonts w:cs="Arial"/>
        </w:rPr>
      </w:pPr>
    </w:p>
    <w:p w:rsidR="001D3E96" w:rsidRDefault="001D3E96" w:rsidP="00EC645B"/>
    <w:sectPr w:rsidR="001D3E96" w:rsidSect="00C4425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BFE" w:rsidRDefault="00DA1BFE" w:rsidP="00EC645B">
      <w:r>
        <w:separator/>
      </w:r>
    </w:p>
  </w:endnote>
  <w:endnote w:type="continuationSeparator" w:id="0">
    <w:p w:rsidR="00DA1BFE" w:rsidRDefault="00DA1BFE" w:rsidP="00EC6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45B" w:rsidRDefault="00EC64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45B" w:rsidRDefault="00EC64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45B" w:rsidRDefault="00EC64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BFE" w:rsidRDefault="00DA1BFE" w:rsidP="00EC645B">
      <w:r>
        <w:separator/>
      </w:r>
    </w:p>
  </w:footnote>
  <w:footnote w:type="continuationSeparator" w:id="0">
    <w:p w:rsidR="00DA1BFE" w:rsidRDefault="00DA1BFE" w:rsidP="00EC6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45B" w:rsidRDefault="00EC64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45B" w:rsidRDefault="00EC64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45B" w:rsidRDefault="00EC64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743CA"/>
    <w:multiLevelType w:val="multilevel"/>
    <w:tmpl w:val="9E5EF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BB719F"/>
    <w:multiLevelType w:val="hybridMultilevel"/>
    <w:tmpl w:val="38DEFF16"/>
    <w:lvl w:ilvl="0" w:tplc="100C1090">
      <w:start w:val="1"/>
      <w:numFmt w:val="bullet"/>
      <w:lvlText w:val=""/>
      <w:lvlJc w:val="left"/>
      <w:pPr>
        <w:tabs>
          <w:tab w:val="num" w:pos="2517"/>
        </w:tabs>
        <w:ind w:left="2517" w:hanging="357"/>
      </w:pPr>
      <w:rPr>
        <w:rFonts w:ascii="Symbol" w:hAnsi="Symbo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BC0C8B"/>
    <w:multiLevelType w:val="multilevel"/>
    <w:tmpl w:val="A51CA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9E00AE4"/>
    <w:multiLevelType w:val="hybridMultilevel"/>
    <w:tmpl w:val="56AC5590"/>
    <w:lvl w:ilvl="0" w:tplc="0FF2F5CC">
      <w:start w:val="1"/>
      <w:numFmt w:val="bullet"/>
      <w:lvlText w:val=""/>
      <w:lvlJc w:val="left"/>
      <w:pPr>
        <w:tabs>
          <w:tab w:val="num" w:pos="2517"/>
        </w:tabs>
        <w:ind w:left="2517" w:hanging="357"/>
      </w:pPr>
      <w:rPr>
        <w:rFonts w:ascii="Symbol" w:hAnsi="Symbol" w:hint="default"/>
        <w:b w:val="0"/>
        <w:strike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9B454A"/>
    <w:multiLevelType w:val="hybridMultilevel"/>
    <w:tmpl w:val="F482B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0B43A2"/>
    <w:multiLevelType w:val="hybridMultilevel"/>
    <w:tmpl w:val="B0DC9692"/>
    <w:lvl w:ilvl="0" w:tplc="100C1090">
      <w:start w:val="1"/>
      <w:numFmt w:val="bullet"/>
      <w:lvlText w:val=""/>
      <w:lvlJc w:val="left"/>
      <w:pPr>
        <w:tabs>
          <w:tab w:val="num" w:pos="2517"/>
        </w:tabs>
        <w:ind w:left="2517" w:hanging="357"/>
      </w:pPr>
      <w:rPr>
        <w:rFonts w:ascii="Symbol" w:hAnsi="Symbol" w:hint="default"/>
        <w:b w:val="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SOCID" w:val="2200004049"/>
    <w:docVar w:name="BASEPRECID" w:val="5"/>
    <w:docVar w:name="BASEPRECTYPE" w:val="BLANK"/>
    <w:docVar w:name="CLIENTID" w:val="2200000203"/>
    <w:docVar w:name="COMPANYID" w:val="2122615635"/>
    <w:docVar w:name="DOCID" w:val="2147524820"/>
    <w:docVar w:name="DOCIDEX" w:val=" "/>
    <w:docVar w:name="EDITION" w:val="FM"/>
    <w:docVar w:name="FILEID" w:val="2200001283"/>
    <w:docVar w:name="SERIALNO" w:val="11345"/>
    <w:docVar w:name="VERSIONID" w:val="d0d96418-2b85-4211-a259-0453bda661e8"/>
    <w:docVar w:name="VERSIONLABEL" w:val="1"/>
  </w:docVars>
  <w:rsids>
    <w:rsidRoot w:val="00EC645B"/>
    <w:rsid w:val="00097301"/>
    <w:rsid w:val="000F0CF6"/>
    <w:rsid w:val="00153E58"/>
    <w:rsid w:val="00194BC2"/>
    <w:rsid w:val="001D3E96"/>
    <w:rsid w:val="002F570B"/>
    <w:rsid w:val="00304D19"/>
    <w:rsid w:val="00346E39"/>
    <w:rsid w:val="0043780A"/>
    <w:rsid w:val="004C7D1E"/>
    <w:rsid w:val="004F3ACD"/>
    <w:rsid w:val="00564E34"/>
    <w:rsid w:val="005A0466"/>
    <w:rsid w:val="005B186B"/>
    <w:rsid w:val="005E0FB7"/>
    <w:rsid w:val="005E6AFD"/>
    <w:rsid w:val="006578D8"/>
    <w:rsid w:val="006A78BF"/>
    <w:rsid w:val="006C016A"/>
    <w:rsid w:val="006F53D5"/>
    <w:rsid w:val="00787001"/>
    <w:rsid w:val="008D4392"/>
    <w:rsid w:val="009360D1"/>
    <w:rsid w:val="00C37A37"/>
    <w:rsid w:val="00C44253"/>
    <w:rsid w:val="00C70113"/>
    <w:rsid w:val="00D90F4F"/>
    <w:rsid w:val="00DA1BFE"/>
    <w:rsid w:val="00E44F39"/>
    <w:rsid w:val="00EC645B"/>
    <w:rsid w:val="00F1468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7DCA00"/>
  <w15:chartTrackingRefBased/>
  <w15:docId w15:val="{C4228EA4-CC61-4A18-86D9-9C595DA4C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45B"/>
    <w:rPr>
      <w:rFonts w:ascii="Arial" w:eastAsia="Times New Roman"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C645B"/>
    <w:pPr>
      <w:tabs>
        <w:tab w:val="center" w:pos="4513"/>
        <w:tab w:val="right" w:pos="9026"/>
      </w:tabs>
    </w:pPr>
  </w:style>
  <w:style w:type="character" w:customStyle="1" w:styleId="HeaderChar">
    <w:name w:val="Header Char"/>
    <w:link w:val="Header"/>
    <w:uiPriority w:val="99"/>
    <w:semiHidden/>
    <w:rsid w:val="00EC645B"/>
    <w:rPr>
      <w:rFonts w:ascii="Arial" w:eastAsia="Times New Roman" w:hAnsi="Arial" w:cs="Times New Roman"/>
    </w:rPr>
  </w:style>
  <w:style w:type="paragraph" w:styleId="Footer">
    <w:name w:val="footer"/>
    <w:basedOn w:val="Normal"/>
    <w:link w:val="FooterChar"/>
    <w:uiPriority w:val="99"/>
    <w:semiHidden/>
    <w:unhideWhenUsed/>
    <w:rsid w:val="00EC645B"/>
    <w:pPr>
      <w:tabs>
        <w:tab w:val="center" w:pos="4513"/>
        <w:tab w:val="right" w:pos="9026"/>
      </w:tabs>
    </w:pPr>
  </w:style>
  <w:style w:type="character" w:customStyle="1" w:styleId="FooterChar">
    <w:name w:val="Footer Char"/>
    <w:link w:val="Footer"/>
    <w:uiPriority w:val="99"/>
    <w:semiHidden/>
    <w:rsid w:val="00EC645B"/>
    <w:rPr>
      <w:rFonts w:ascii="Arial" w:eastAsia="Times New Roman" w:hAnsi="Arial" w:cs="Times New Roman"/>
    </w:rPr>
  </w:style>
  <w:style w:type="paragraph" w:customStyle="1" w:styleId="paragraph">
    <w:name w:val="paragraph"/>
    <w:basedOn w:val="Normal"/>
    <w:rsid w:val="006578D8"/>
    <w:pPr>
      <w:spacing w:before="100" w:beforeAutospacing="1" w:after="100" w:afterAutospacing="1"/>
    </w:pPr>
    <w:rPr>
      <w:rFonts w:ascii="Times New Roman" w:hAnsi="Times New Roman"/>
      <w:sz w:val="24"/>
      <w:szCs w:val="24"/>
      <w:lang w:eastAsia="en-GB"/>
    </w:rPr>
  </w:style>
  <w:style w:type="character" w:customStyle="1" w:styleId="normaltextrun">
    <w:name w:val="normaltextrun"/>
    <w:basedOn w:val="DefaultParagraphFont"/>
    <w:rsid w:val="006578D8"/>
  </w:style>
  <w:style w:type="character" w:customStyle="1" w:styleId="eop">
    <w:name w:val="eop"/>
    <w:basedOn w:val="DefaultParagraphFont"/>
    <w:rsid w:val="00657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065096">
      <w:bodyDiv w:val="1"/>
      <w:marLeft w:val="0"/>
      <w:marRight w:val="0"/>
      <w:marTop w:val="0"/>
      <w:marBottom w:val="0"/>
      <w:divBdr>
        <w:top w:val="none" w:sz="0" w:space="0" w:color="auto"/>
        <w:left w:val="none" w:sz="0" w:space="0" w:color="auto"/>
        <w:bottom w:val="none" w:sz="0" w:space="0" w:color="auto"/>
        <w:right w:val="none" w:sz="0" w:space="0" w:color="auto"/>
      </w:divBdr>
      <w:divsChild>
        <w:div w:id="1085109675">
          <w:marLeft w:val="0"/>
          <w:marRight w:val="0"/>
          <w:marTop w:val="0"/>
          <w:marBottom w:val="0"/>
          <w:divBdr>
            <w:top w:val="none" w:sz="0" w:space="0" w:color="auto"/>
            <w:left w:val="none" w:sz="0" w:space="0" w:color="auto"/>
            <w:bottom w:val="none" w:sz="0" w:space="0" w:color="auto"/>
            <w:right w:val="none" w:sz="0" w:space="0" w:color="auto"/>
          </w:divBdr>
        </w:div>
        <w:div w:id="1316765766">
          <w:marLeft w:val="0"/>
          <w:marRight w:val="0"/>
          <w:marTop w:val="0"/>
          <w:marBottom w:val="0"/>
          <w:divBdr>
            <w:top w:val="none" w:sz="0" w:space="0" w:color="auto"/>
            <w:left w:val="none" w:sz="0" w:space="0" w:color="auto"/>
            <w:bottom w:val="none" w:sz="0" w:space="0" w:color="auto"/>
            <w:right w:val="none" w:sz="0" w:space="0" w:color="auto"/>
          </w:divBdr>
        </w:div>
        <w:div w:id="52852902">
          <w:marLeft w:val="0"/>
          <w:marRight w:val="0"/>
          <w:marTop w:val="0"/>
          <w:marBottom w:val="0"/>
          <w:divBdr>
            <w:top w:val="none" w:sz="0" w:space="0" w:color="auto"/>
            <w:left w:val="none" w:sz="0" w:space="0" w:color="auto"/>
            <w:bottom w:val="none" w:sz="0" w:space="0" w:color="auto"/>
            <w:right w:val="none" w:sz="0" w:space="0" w:color="auto"/>
          </w:divBdr>
          <w:divsChild>
            <w:div w:id="1744646118">
              <w:marLeft w:val="0"/>
              <w:marRight w:val="0"/>
              <w:marTop w:val="0"/>
              <w:marBottom w:val="0"/>
              <w:divBdr>
                <w:top w:val="none" w:sz="0" w:space="0" w:color="auto"/>
                <w:left w:val="none" w:sz="0" w:space="0" w:color="auto"/>
                <w:bottom w:val="none" w:sz="0" w:space="0" w:color="auto"/>
                <w:right w:val="none" w:sz="0" w:space="0" w:color="auto"/>
              </w:divBdr>
            </w:div>
            <w:div w:id="726104638">
              <w:marLeft w:val="0"/>
              <w:marRight w:val="0"/>
              <w:marTop w:val="0"/>
              <w:marBottom w:val="0"/>
              <w:divBdr>
                <w:top w:val="none" w:sz="0" w:space="0" w:color="auto"/>
                <w:left w:val="none" w:sz="0" w:space="0" w:color="auto"/>
                <w:bottom w:val="none" w:sz="0" w:space="0" w:color="auto"/>
                <w:right w:val="none" w:sz="0" w:space="0" w:color="auto"/>
              </w:divBdr>
            </w:div>
            <w:div w:id="1002784456">
              <w:marLeft w:val="0"/>
              <w:marRight w:val="0"/>
              <w:marTop w:val="0"/>
              <w:marBottom w:val="0"/>
              <w:divBdr>
                <w:top w:val="none" w:sz="0" w:space="0" w:color="auto"/>
                <w:left w:val="none" w:sz="0" w:space="0" w:color="auto"/>
                <w:bottom w:val="none" w:sz="0" w:space="0" w:color="auto"/>
                <w:right w:val="none" w:sz="0" w:space="0" w:color="auto"/>
              </w:divBdr>
            </w:div>
          </w:divsChild>
        </w:div>
        <w:div w:id="1216700814">
          <w:marLeft w:val="0"/>
          <w:marRight w:val="0"/>
          <w:marTop w:val="0"/>
          <w:marBottom w:val="0"/>
          <w:divBdr>
            <w:top w:val="none" w:sz="0" w:space="0" w:color="auto"/>
            <w:left w:val="none" w:sz="0" w:space="0" w:color="auto"/>
            <w:bottom w:val="none" w:sz="0" w:space="0" w:color="auto"/>
            <w:right w:val="none" w:sz="0" w:space="0" w:color="auto"/>
          </w:divBdr>
          <w:divsChild>
            <w:div w:id="910385873">
              <w:marLeft w:val="0"/>
              <w:marRight w:val="0"/>
              <w:marTop w:val="0"/>
              <w:marBottom w:val="0"/>
              <w:divBdr>
                <w:top w:val="none" w:sz="0" w:space="0" w:color="auto"/>
                <w:left w:val="none" w:sz="0" w:space="0" w:color="auto"/>
                <w:bottom w:val="none" w:sz="0" w:space="0" w:color="auto"/>
                <w:right w:val="none" w:sz="0" w:space="0" w:color="auto"/>
              </w:divBdr>
            </w:div>
            <w:div w:id="548222039">
              <w:marLeft w:val="0"/>
              <w:marRight w:val="0"/>
              <w:marTop w:val="0"/>
              <w:marBottom w:val="0"/>
              <w:divBdr>
                <w:top w:val="none" w:sz="0" w:space="0" w:color="auto"/>
                <w:left w:val="none" w:sz="0" w:space="0" w:color="auto"/>
                <w:bottom w:val="none" w:sz="0" w:space="0" w:color="auto"/>
                <w:right w:val="none" w:sz="0" w:space="0" w:color="auto"/>
              </w:divBdr>
            </w:div>
            <w:div w:id="546914540">
              <w:marLeft w:val="0"/>
              <w:marRight w:val="0"/>
              <w:marTop w:val="0"/>
              <w:marBottom w:val="0"/>
              <w:divBdr>
                <w:top w:val="none" w:sz="0" w:space="0" w:color="auto"/>
                <w:left w:val="none" w:sz="0" w:space="0" w:color="auto"/>
                <w:bottom w:val="none" w:sz="0" w:space="0" w:color="auto"/>
                <w:right w:val="none" w:sz="0" w:space="0" w:color="auto"/>
              </w:divBdr>
            </w:div>
            <w:div w:id="980815291">
              <w:marLeft w:val="0"/>
              <w:marRight w:val="0"/>
              <w:marTop w:val="0"/>
              <w:marBottom w:val="0"/>
              <w:divBdr>
                <w:top w:val="none" w:sz="0" w:space="0" w:color="auto"/>
                <w:left w:val="none" w:sz="0" w:space="0" w:color="auto"/>
                <w:bottom w:val="none" w:sz="0" w:space="0" w:color="auto"/>
                <w:right w:val="none" w:sz="0" w:space="0" w:color="auto"/>
              </w:divBdr>
            </w:div>
          </w:divsChild>
        </w:div>
        <w:div w:id="1010138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DA9B218EB5BD4BA8D12CD9005F3AA9" ma:contentTypeVersion="4" ma:contentTypeDescription="Create a new document." ma:contentTypeScope="" ma:versionID="c42dbf96193fdc1a5ac3ee1aacdb91fd">
  <xsd:schema xmlns:xsd="http://www.w3.org/2001/XMLSchema" xmlns:xs="http://www.w3.org/2001/XMLSchema" xmlns:p="http://schemas.microsoft.com/office/2006/metadata/properties" xmlns:ns2="66488ae2-2e67-4581-99ff-e6cfaac68df4" targetNamespace="http://schemas.microsoft.com/office/2006/metadata/properties" ma:root="true" ma:fieldsID="cd13154c58fb8d590bfbbbd3e571ad1c" ns2:_="">
    <xsd:import namespace="66488ae2-2e67-4581-99ff-e6cfaac68d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88ae2-2e67-4581-99ff-e6cfaac68d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44536F-4A3E-49B7-A635-5E8DC48D6681}">
  <ds:schemaRefs>
    <ds:schemaRef ds:uri="http://schemas.microsoft.com/sharepoint/v3/contenttype/forms"/>
  </ds:schemaRefs>
</ds:datastoreItem>
</file>

<file path=customXml/itemProps2.xml><?xml version="1.0" encoding="utf-8"?>
<ds:datastoreItem xmlns:ds="http://schemas.openxmlformats.org/officeDocument/2006/customXml" ds:itemID="{91AD9007-7052-41F8-BA37-2DE5D966CA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88ae2-2e67-4581-99ff-e6cfaac68d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1158</Words>
  <Characters>6606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NWLDC</Company>
  <LinksUpToDate>false</LinksUpToDate>
  <CharactersWithSpaces>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Howe</dc:creator>
  <cp:keywords/>
  <dc:description/>
  <cp:lastModifiedBy>ELIZABETH WARHURST</cp:lastModifiedBy>
  <cp:revision>7</cp:revision>
  <dcterms:created xsi:type="dcterms:W3CDTF">2020-11-27T14:42:00Z</dcterms:created>
  <dcterms:modified xsi:type="dcterms:W3CDTF">2020-11-27T14:47:00Z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PRECID">
    <vt:r8>2138933331</vt:r8>
  </property>
  <property fmtid="{D5CDD505-2E9C-101B-9397-08002B2CF9AE}" pid="3" name="BASEPRECTYPE">
    <vt:lpwstr>SHELL</vt:lpwstr>
  </property>
  <property fmtid="{D5CDD505-2E9C-101B-9397-08002B2CF9AE}" pid="4" name="DOCID">
    <vt:r8>2147687129</vt:r8>
  </property>
  <property fmtid="{D5CDD505-2E9C-101B-9397-08002B2CF9AE}" pid="5" name="DOCIDEX">
    <vt:lpwstr/>
  </property>
  <property fmtid="{D5CDD505-2E9C-101B-9397-08002B2CF9AE}" pid="6" name="COMPANYID">
    <vt:r8>2122615635</vt:r8>
  </property>
  <property fmtid="{D5CDD505-2E9C-101B-9397-08002B2CF9AE}" pid="7" name="SERIALNO">
    <vt:r8>11345</vt:r8>
  </property>
  <property fmtid="{D5CDD505-2E9C-101B-9397-08002B2CF9AE}" pid="8" name="EDITION">
    <vt:lpwstr>FM</vt:lpwstr>
  </property>
  <property fmtid="{D5CDD505-2E9C-101B-9397-08002B2CF9AE}" pid="9" name="CLIENTID">
    <vt:r8>2200000203</vt:r8>
  </property>
  <property fmtid="{D5CDD505-2E9C-101B-9397-08002B2CF9AE}" pid="10" name="FILEID">
    <vt:r8>2200005542</vt:r8>
  </property>
  <property fmtid="{D5CDD505-2E9C-101B-9397-08002B2CF9AE}" pid="11" name="ASSOCID">
    <vt:r8>2200019628</vt:r8>
  </property>
  <property fmtid="{D5CDD505-2E9C-101B-9397-08002B2CF9AE}" pid="12" name="VERSIONID">
    <vt:lpwstr>4ca8b1e7-5cbb-4b06-8430-8ada31a2b754</vt:lpwstr>
  </property>
  <property fmtid="{D5CDD505-2E9C-101B-9397-08002B2CF9AE}" pid="13" name="VERSIONLABEL">
    <vt:lpwstr>1</vt:lpwstr>
  </property>
</Properties>
</file>