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2D11" w14:textId="59A860E5" w:rsidR="00A52236" w:rsidRPr="005733C9" w:rsidRDefault="00A52236" w:rsidP="00A52236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D80C6EE" w14:textId="28F49F7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D5DB438" w14:textId="51ED5660" w:rsidR="00A52236" w:rsidRPr="00453A54" w:rsidRDefault="00453A5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6B00D4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E048E6">
        <w:rPr>
          <w:rFonts w:ascii="Arial" w:eastAsia="Times New Roman" w:hAnsi="Arial" w:cs="Arial"/>
          <w:b/>
          <w:bCs/>
          <w:sz w:val="36"/>
          <w:szCs w:val="36"/>
        </w:rPr>
        <w:t xml:space="preserve">Reviewed </w:t>
      </w:r>
      <w:r w:rsidR="00B51D56">
        <w:rPr>
          <w:rFonts w:ascii="Arial" w:eastAsia="Times New Roman" w:hAnsi="Arial" w:cs="Arial"/>
          <w:b/>
          <w:bCs/>
          <w:sz w:val="36"/>
          <w:szCs w:val="36"/>
        </w:rPr>
        <w:t>02 March 2022</w:t>
      </w:r>
    </w:p>
    <w:p w14:paraId="0CEDF956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7167"/>
        <w:gridCol w:w="1196"/>
        <w:gridCol w:w="5953"/>
      </w:tblGrid>
      <w:tr w:rsidR="00A87135" w:rsidRPr="00A87135" w14:paraId="5D852D9A" w14:textId="77777777" w:rsidTr="00A25F67">
        <w:tc>
          <w:tcPr>
            <w:tcW w:w="14737" w:type="dxa"/>
            <w:gridSpan w:val="4"/>
            <w:shd w:val="clear" w:color="auto" w:fill="D9E2F3" w:themeFill="accent1" w:themeFillTint="33"/>
          </w:tcPr>
          <w:p w14:paraId="2A5FA71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208305E0" w14:textId="5B280BF5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6A212C" w14:textId="77777777" w:rsidTr="00A25F67">
        <w:tc>
          <w:tcPr>
            <w:tcW w:w="421" w:type="dxa"/>
          </w:tcPr>
          <w:p w14:paraId="593354D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14:paraId="214BC66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1196" w:type="dxa"/>
          </w:tcPr>
          <w:p w14:paraId="73064922" w14:textId="269FA844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A25F67">
              <w:rPr>
                <w:rFonts w:ascii="Arial" w:hAnsi="Arial" w:cs="Arial"/>
                <w:b/>
                <w:bCs/>
                <w:sz w:val="24"/>
                <w:szCs w:val="24"/>
              </w:rPr>
              <w:t>/No</w:t>
            </w:r>
          </w:p>
        </w:tc>
        <w:tc>
          <w:tcPr>
            <w:tcW w:w="5953" w:type="dxa"/>
          </w:tcPr>
          <w:p w14:paraId="53308BA5" w14:textId="0FDF31B8" w:rsidR="00A87135" w:rsidRPr="00A87135" w:rsidRDefault="00A25F67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87135" w:rsidRPr="00A87135" w14:paraId="3DCDAD64" w14:textId="77777777" w:rsidTr="00A25F67">
        <w:tc>
          <w:tcPr>
            <w:tcW w:w="421" w:type="dxa"/>
          </w:tcPr>
          <w:p w14:paraId="6A873B7F" w14:textId="2CC049DD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1025EE9" w14:textId="08451DBC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3300007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DA2D4" w14:textId="72549BF7" w:rsidR="00A87135" w:rsidRP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C663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C571378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E97B6F" w14:textId="0A1852D0" w:rsidR="006A0B50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0B50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0A6031E5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42346E" w14:textId="4E092713" w:rsidR="006A0B50" w:rsidRPr="006A0B50" w:rsidRDefault="00DE55C6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6A0B50" w:rsidRPr="006A0B5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https://www.nwleics.gov.uk/files/documents/complaints_procedure/Complaints%20Procedure%20-%20Nov%202019.pdf</w:t>
              </w:r>
            </w:hyperlink>
          </w:p>
          <w:p w14:paraId="7E31210B" w14:textId="73DE2BC6" w:rsidR="006A0B50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7533E1DD" w14:textId="77777777" w:rsidTr="00A25F67">
        <w:tc>
          <w:tcPr>
            <w:tcW w:w="421" w:type="dxa"/>
          </w:tcPr>
          <w:p w14:paraId="16819B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53E77EC" w14:textId="32F054B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1196" w:type="dxa"/>
          </w:tcPr>
          <w:p w14:paraId="488B4910" w14:textId="56B60217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0B50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227ECAB9" w14:textId="2637CF60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0B50">
              <w:rPr>
                <w:rFonts w:ascii="Arial" w:hAnsi="Arial" w:cs="Arial"/>
                <w:bCs/>
                <w:sz w:val="24"/>
                <w:szCs w:val="24"/>
              </w:rPr>
              <w:t xml:space="preserve">Where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nature of the enquiry is reporting a fault</w:t>
            </w:r>
          </w:p>
        </w:tc>
      </w:tr>
      <w:tr w:rsidR="00A87135" w:rsidRPr="00A87135" w14:paraId="40E86516" w14:textId="77777777" w:rsidTr="00A25F67">
        <w:tc>
          <w:tcPr>
            <w:tcW w:w="421" w:type="dxa"/>
          </w:tcPr>
          <w:p w14:paraId="626CC0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B698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737F811E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7D92C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</w:p>
          <w:p w14:paraId="2C8AC977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96FE9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3EB71" w14:textId="635F9D11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7CAAC" w:themeFill="accent2" w:themeFillTint="66"/>
          </w:tcPr>
          <w:p w14:paraId="19304288" w14:textId="77777777" w:rsidR="00A87135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3BF0AA" w14:textId="60F0CA2C" w:rsidR="006A0B50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0E092716" w14:textId="77777777" w:rsidR="00A87135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8CA6D1" w14:textId="4A2B6117" w:rsidR="006A0B50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Link within policy to ‘Have your Say’ form </w:t>
            </w:r>
          </w:p>
        </w:tc>
      </w:tr>
      <w:tr w:rsidR="00A87135" w:rsidRPr="00A87135" w14:paraId="26F87D48" w14:textId="77777777" w:rsidTr="00A25F67">
        <w:tc>
          <w:tcPr>
            <w:tcW w:w="421" w:type="dxa"/>
          </w:tcPr>
          <w:p w14:paraId="2E7AC99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14:paraId="3793B1F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1196" w:type="dxa"/>
          </w:tcPr>
          <w:p w14:paraId="381E4477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3561DE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59D80145" w14:textId="77777777" w:rsidTr="00A25F67">
        <w:tc>
          <w:tcPr>
            <w:tcW w:w="421" w:type="dxa"/>
          </w:tcPr>
          <w:p w14:paraId="25EB0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3B4F77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1196" w:type="dxa"/>
          </w:tcPr>
          <w:p w14:paraId="1085CC46" w14:textId="75446592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77FA5691" w14:textId="06C717F6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Have your Say form, Customer Services</w:t>
            </w:r>
            <w:r w:rsidRPr="003363C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5733C9" w:rsidRPr="003363C8">
              <w:rPr>
                <w:rFonts w:ascii="Arial" w:hAnsi="Arial" w:cs="Arial"/>
                <w:bCs/>
                <w:sz w:val="24"/>
                <w:szCs w:val="24"/>
              </w:rPr>
              <w:t xml:space="preserve">MP,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Councillor, Housing Officer, S</w:t>
            </w:r>
            <w:r w:rsidR="00B96B56">
              <w:rPr>
                <w:rFonts w:ascii="Arial" w:hAnsi="Arial" w:cs="Arial"/>
                <w:bCs/>
                <w:sz w:val="24"/>
                <w:szCs w:val="24"/>
              </w:rPr>
              <w:t>upport Worker, In person or in w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riting</w:t>
            </w:r>
          </w:p>
        </w:tc>
      </w:tr>
      <w:tr w:rsidR="00A87135" w:rsidRPr="00A87135" w14:paraId="225EB633" w14:textId="77777777" w:rsidTr="00A25F67">
        <w:tc>
          <w:tcPr>
            <w:tcW w:w="421" w:type="dxa"/>
          </w:tcPr>
          <w:p w14:paraId="4EB5930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6D5462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1196" w:type="dxa"/>
          </w:tcPr>
          <w:p w14:paraId="5EF16098" w14:textId="7590B09E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6D138EEB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250186A8" w14:textId="77777777" w:rsidTr="00A25F67">
        <w:tc>
          <w:tcPr>
            <w:tcW w:w="421" w:type="dxa"/>
          </w:tcPr>
          <w:p w14:paraId="26807A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9E84E47" w14:textId="33A563B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1196" w:type="dxa"/>
          </w:tcPr>
          <w:p w14:paraId="500FC219" w14:textId="0BABE8BD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07961DCA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743777B0" w14:textId="77777777" w:rsidTr="00A25F67">
        <w:tc>
          <w:tcPr>
            <w:tcW w:w="421" w:type="dxa"/>
          </w:tcPr>
          <w:p w14:paraId="46979E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1A1679C" w14:textId="62BB1F61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1196" w:type="dxa"/>
          </w:tcPr>
          <w:p w14:paraId="6810B1DF" w14:textId="7D639459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6384AEEC" w14:textId="39DF6698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Performance &amp; Finance Working Group, NWLDC Website, Resident Involvement</w:t>
            </w:r>
          </w:p>
        </w:tc>
      </w:tr>
      <w:tr w:rsidR="00A87135" w:rsidRPr="00A87135" w14:paraId="2747F2AB" w14:textId="77777777" w:rsidTr="00A25F67">
        <w:tc>
          <w:tcPr>
            <w:tcW w:w="421" w:type="dxa"/>
          </w:tcPr>
          <w:p w14:paraId="0EF7809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14:paraId="480DF39B" w14:textId="11E1D3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1196" w:type="dxa"/>
          </w:tcPr>
          <w:p w14:paraId="5A4762B7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FA2E569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1A5C497F" w14:textId="77777777" w:rsidTr="00A25F67">
        <w:tc>
          <w:tcPr>
            <w:tcW w:w="421" w:type="dxa"/>
          </w:tcPr>
          <w:p w14:paraId="0E3557F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F7CBAB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1196" w:type="dxa"/>
          </w:tcPr>
          <w:p w14:paraId="5F147884" w14:textId="33F64BCB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2F603EF7" w14:textId="3751E8BA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Kerry Spiers/Feedback Team/Dave Thorpe/David Moxon</w:t>
            </w:r>
          </w:p>
        </w:tc>
      </w:tr>
      <w:tr w:rsidR="00A87135" w:rsidRPr="00A87135" w14:paraId="723C67CD" w14:textId="77777777" w:rsidTr="00A25F67">
        <w:tc>
          <w:tcPr>
            <w:tcW w:w="421" w:type="dxa"/>
          </w:tcPr>
          <w:p w14:paraId="617C56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A1792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1196" w:type="dxa"/>
          </w:tcPr>
          <w:p w14:paraId="755E36E3" w14:textId="57110A08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3A6C927C" w14:textId="56B32BB5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60ED9CE4" w14:textId="77777777" w:rsidTr="00A25F67">
        <w:tc>
          <w:tcPr>
            <w:tcW w:w="421" w:type="dxa"/>
          </w:tcPr>
          <w:p w14:paraId="12670B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635BF3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1196" w:type="dxa"/>
          </w:tcPr>
          <w:p w14:paraId="26F4418C" w14:textId="4F517E32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038358AD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70F6DF22" w14:textId="77777777" w:rsidTr="00A25F67">
        <w:trPr>
          <w:trHeight w:val="70"/>
        </w:trPr>
        <w:tc>
          <w:tcPr>
            <w:tcW w:w="421" w:type="dxa"/>
          </w:tcPr>
          <w:p w14:paraId="16A8D1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58AA85F" w14:textId="688473A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gramStart"/>
            <w:r w:rsidR="00956005">
              <w:rPr>
                <w:rFonts w:ascii="Arial" w:hAnsi="Arial" w:cs="Arial"/>
                <w:sz w:val="24"/>
                <w:szCs w:val="24"/>
              </w:rPr>
              <w:t>complaints</w:t>
            </w:r>
            <w:proofErr w:type="gramEnd"/>
            <w:r w:rsidR="00956005">
              <w:rPr>
                <w:rFonts w:ascii="Arial" w:hAnsi="Arial" w:cs="Arial"/>
                <w:sz w:val="24"/>
                <w:szCs w:val="24"/>
              </w:rPr>
              <w:t xml:space="preserve">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1196" w:type="dxa"/>
          </w:tcPr>
          <w:p w14:paraId="136A2998" w14:textId="671DE857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5953" w:type="dxa"/>
          </w:tcPr>
          <w:p w14:paraId="4F464CDA" w14:textId="77777777" w:rsidR="00A87135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Stage 1, Stage 2 &amp; Ombudsman</w:t>
            </w:r>
          </w:p>
          <w:p w14:paraId="6ACA60F7" w14:textId="5EC6532C" w:rsidR="00160EB1" w:rsidRPr="006A0B50" w:rsidRDefault="00160EB1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Stage 3 is discretionary and only to be used where landlord believes it to be ‘absolutely necessary’</w:t>
            </w:r>
          </w:p>
        </w:tc>
      </w:tr>
      <w:tr w:rsidR="00A87135" w:rsidRPr="00A87135" w14:paraId="4D24AA91" w14:textId="77777777" w:rsidTr="00A25F67">
        <w:tc>
          <w:tcPr>
            <w:tcW w:w="421" w:type="dxa"/>
          </w:tcPr>
          <w:p w14:paraId="49DB21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6AE5D7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1196" w:type="dxa"/>
          </w:tcPr>
          <w:p w14:paraId="1A44A40E" w14:textId="69BE2847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5953" w:type="dxa"/>
          </w:tcPr>
          <w:p w14:paraId="56567072" w14:textId="60C13149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20B6970E" w14:textId="77777777" w:rsidTr="00A25F67">
        <w:tc>
          <w:tcPr>
            <w:tcW w:w="421" w:type="dxa"/>
          </w:tcPr>
          <w:p w14:paraId="12B05EC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3300967" w14:textId="1620F952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1196" w:type="dxa"/>
          </w:tcPr>
          <w:p w14:paraId="34E56E7D" w14:textId="6FA775C1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60CC827B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68B4CF7F" w14:textId="77777777" w:rsidTr="00A25F67">
        <w:tc>
          <w:tcPr>
            <w:tcW w:w="421" w:type="dxa"/>
          </w:tcPr>
          <w:p w14:paraId="17CDBC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D54C2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1196" w:type="dxa"/>
          </w:tcPr>
          <w:p w14:paraId="73D64FC6" w14:textId="0547CDF2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7FBF4B33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347CCC6C" w14:textId="77777777" w:rsidTr="00A25F67">
        <w:tc>
          <w:tcPr>
            <w:tcW w:w="421" w:type="dxa"/>
          </w:tcPr>
          <w:p w14:paraId="7B8931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9409B1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14:paraId="1E8A996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BA1F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063C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CE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7CAAC" w:themeFill="accent2" w:themeFillTint="66"/>
          </w:tcPr>
          <w:p w14:paraId="6419EFA9" w14:textId="727472DB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Stage 1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520C148A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295337F7" w14:textId="77777777" w:rsidTr="00A25F67">
        <w:tc>
          <w:tcPr>
            <w:tcW w:w="421" w:type="dxa"/>
          </w:tcPr>
          <w:p w14:paraId="32BB205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14:paraId="4FD503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196" w:type="dxa"/>
          </w:tcPr>
          <w:p w14:paraId="39FCA0AE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AD1033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3C0938C9" w14:textId="77777777" w:rsidTr="00A25F67">
        <w:tc>
          <w:tcPr>
            <w:tcW w:w="421" w:type="dxa"/>
          </w:tcPr>
          <w:p w14:paraId="7896C4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FCCD5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1196" w:type="dxa"/>
          </w:tcPr>
          <w:p w14:paraId="5F5F86F5" w14:textId="57119D8C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6EC94FD9" w14:textId="6396FEF6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Written confirmation upon receipt and following investigation </w:t>
            </w:r>
          </w:p>
        </w:tc>
      </w:tr>
      <w:tr w:rsidR="00A87135" w:rsidRPr="00A87135" w14:paraId="70C8E5C4" w14:textId="77777777" w:rsidTr="00A25F67">
        <w:tc>
          <w:tcPr>
            <w:tcW w:w="421" w:type="dxa"/>
          </w:tcPr>
          <w:p w14:paraId="48D441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A33B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1196" w:type="dxa"/>
          </w:tcPr>
          <w:p w14:paraId="60CEE7B1" w14:textId="7A158CD0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7C9B66EF" w14:textId="361E4B56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Resident will be informed of decision but will always have the right to appeal as ask for independent evaluation</w:t>
            </w:r>
          </w:p>
        </w:tc>
      </w:tr>
      <w:tr w:rsidR="00A87135" w:rsidRPr="00A87135" w14:paraId="26BE3FA3" w14:textId="77777777" w:rsidTr="00A25F67">
        <w:tc>
          <w:tcPr>
            <w:tcW w:w="421" w:type="dxa"/>
          </w:tcPr>
          <w:p w14:paraId="66239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E30EE79" w14:textId="48EF6978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1196" w:type="dxa"/>
          </w:tcPr>
          <w:p w14:paraId="36398AC0" w14:textId="43074F7C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588CA5B7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3C286689" w14:textId="77777777" w:rsidTr="00A25F67">
        <w:tc>
          <w:tcPr>
            <w:tcW w:w="421" w:type="dxa"/>
          </w:tcPr>
          <w:p w14:paraId="6B9C28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0BB701E" w14:textId="13A060B9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1196" w:type="dxa"/>
          </w:tcPr>
          <w:p w14:paraId="11C926B6" w14:textId="5BEB2702" w:rsidR="00A87135" w:rsidRPr="006A0B50" w:rsidRDefault="006A0B5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6CDED899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4BBF40AB" w14:textId="77777777" w:rsidTr="00A25F67">
        <w:tc>
          <w:tcPr>
            <w:tcW w:w="421" w:type="dxa"/>
          </w:tcPr>
          <w:p w14:paraId="74F2607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6BDF79" w14:textId="2F3C7120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1196" w:type="dxa"/>
            <w:shd w:val="clear" w:color="auto" w:fill="F7CAAC" w:themeFill="accent2" w:themeFillTint="66"/>
          </w:tcPr>
          <w:p w14:paraId="7268CC71" w14:textId="2D44BD65" w:rsidR="00A87135" w:rsidRPr="006A0B50" w:rsidRDefault="009F3989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397800B0" w14:textId="47A39116" w:rsidR="00A87135" w:rsidRPr="006A0B50" w:rsidRDefault="00B51D56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Q3</w:t>
            </w:r>
            <w:r w:rsidR="004C7298">
              <w:rPr>
                <w:rFonts w:ascii="Arial" w:hAnsi="Arial" w:cs="Arial"/>
                <w:bCs/>
                <w:sz w:val="24"/>
                <w:szCs w:val="24"/>
              </w:rPr>
              <w:t xml:space="preserve"> 21/22 For 20/21 = 100</w:t>
            </w:r>
            <w:r w:rsidR="009F3989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87135" w:rsidRPr="00A87135" w14:paraId="404719ED" w14:textId="77777777" w:rsidTr="00A25F67">
        <w:tc>
          <w:tcPr>
            <w:tcW w:w="421" w:type="dxa"/>
          </w:tcPr>
          <w:p w14:paraId="0320CD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C67E310" w14:textId="3CCC96E4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1196" w:type="dxa"/>
            <w:shd w:val="clear" w:color="auto" w:fill="F7CAAC" w:themeFill="accent2" w:themeFillTint="66"/>
          </w:tcPr>
          <w:p w14:paraId="587EA724" w14:textId="51C78B26" w:rsidR="00A87135" w:rsidRPr="006A0B50" w:rsidRDefault="009F3989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0DDF081E" w14:textId="6A59293C" w:rsidR="00A87135" w:rsidRPr="006A0B50" w:rsidRDefault="00B51D56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Q3</w:t>
            </w:r>
            <w:r w:rsidR="004C7298">
              <w:rPr>
                <w:rFonts w:ascii="Arial" w:hAnsi="Arial" w:cs="Arial"/>
                <w:bCs/>
                <w:sz w:val="24"/>
                <w:szCs w:val="24"/>
              </w:rPr>
              <w:t xml:space="preserve"> 21/22 For 20/21</w:t>
            </w:r>
            <w:r w:rsidR="009F3989">
              <w:rPr>
                <w:rFonts w:ascii="Arial" w:hAnsi="Arial" w:cs="Arial"/>
                <w:bCs/>
                <w:sz w:val="24"/>
                <w:szCs w:val="24"/>
              </w:rPr>
              <w:t xml:space="preserve"> = 100%</w:t>
            </w:r>
          </w:p>
        </w:tc>
      </w:tr>
      <w:tr w:rsidR="00524B80" w:rsidRPr="00A87135" w14:paraId="727BFD9C" w14:textId="77777777" w:rsidTr="00A25F67">
        <w:tc>
          <w:tcPr>
            <w:tcW w:w="421" w:type="dxa"/>
          </w:tcPr>
          <w:p w14:paraId="6DA704A3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0F6562E" w14:textId="5FFB654E" w:rsidR="00524B80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07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B10662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8F08B9" w14:textId="77777777" w:rsidR="00524B80" w:rsidRPr="00B10662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85B2" w14:textId="738832A4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</w:p>
          <w:p w14:paraId="4B0BB5EA" w14:textId="193A2AF3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</w:p>
          <w:p w14:paraId="1735E508" w14:textId="678E6E96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</w:p>
          <w:p w14:paraId="5E35672D" w14:textId="129CDDDF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</w:p>
          <w:p w14:paraId="3B69C731" w14:textId="2863C97F" w:rsidR="00524B80" w:rsidRPr="00B10662" w:rsidRDefault="00524B80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7CAAC" w:themeFill="accent2" w:themeFillTint="66"/>
          </w:tcPr>
          <w:p w14:paraId="381C842D" w14:textId="77777777" w:rsidR="00524B80" w:rsidRDefault="00524B8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A17678" w14:textId="77777777" w:rsidR="009F3989" w:rsidRDefault="009F3989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2A9A04" w14:textId="77777777" w:rsidR="009F3989" w:rsidRDefault="009F3989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CEAFD" w14:textId="09E34289" w:rsidR="009F3989" w:rsidRDefault="004C7298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DD5D0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  <w:p w14:paraId="4A81835B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data</w:t>
            </w:r>
          </w:p>
          <w:p w14:paraId="7B484214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  <w:p w14:paraId="640B84E1" w14:textId="3EA9AA72" w:rsidR="00DD5D0D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data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151E69DA" w14:textId="77777777" w:rsidR="00524B80" w:rsidRDefault="00524B8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177B9D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0900DF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E15B30" w14:textId="59811233" w:rsidR="00DD5D0D" w:rsidRDefault="00B51D56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Q3</w:t>
            </w:r>
            <w:r w:rsidR="004C7298">
              <w:rPr>
                <w:rFonts w:ascii="Arial" w:hAnsi="Arial" w:cs="Arial"/>
                <w:bCs/>
                <w:sz w:val="24"/>
                <w:szCs w:val="24"/>
              </w:rPr>
              <w:t xml:space="preserve"> 21/22 For 20/21 100</w:t>
            </w:r>
            <w:r w:rsidR="00DD5D0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  <w:p w14:paraId="6A3E80C3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F5A307" w14:textId="31E2F524" w:rsidR="00DD5D0D" w:rsidRPr="006A0B50" w:rsidRDefault="00B51D56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Q3</w:t>
            </w:r>
            <w:r w:rsidR="004C7298">
              <w:rPr>
                <w:rFonts w:ascii="Arial" w:hAnsi="Arial" w:cs="Arial"/>
                <w:bCs/>
                <w:sz w:val="24"/>
                <w:szCs w:val="24"/>
              </w:rPr>
              <w:t xml:space="preserve"> 21/22 For 20/21 100</w:t>
            </w:r>
            <w:r w:rsidR="00DD5D0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87135" w:rsidRPr="00A87135" w14:paraId="34DAC6BD" w14:textId="77777777" w:rsidTr="00A25F67">
        <w:tc>
          <w:tcPr>
            <w:tcW w:w="421" w:type="dxa"/>
          </w:tcPr>
          <w:p w14:paraId="02BA675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41AA6E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have good reason?</w:t>
            </w:r>
          </w:p>
        </w:tc>
        <w:tc>
          <w:tcPr>
            <w:tcW w:w="1196" w:type="dxa"/>
          </w:tcPr>
          <w:p w14:paraId="4D81DE43" w14:textId="5CB373AC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0A3881DE" w14:textId="2DDD0DA0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full and proper investigation</w:t>
            </w:r>
          </w:p>
        </w:tc>
      </w:tr>
      <w:tr w:rsidR="00A87135" w:rsidRPr="00A87135" w14:paraId="2F849598" w14:textId="77777777" w:rsidTr="00A25F67">
        <w:tc>
          <w:tcPr>
            <w:tcW w:w="421" w:type="dxa"/>
          </w:tcPr>
          <w:p w14:paraId="4807172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30F17F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resident informed?</w:t>
            </w:r>
          </w:p>
        </w:tc>
        <w:tc>
          <w:tcPr>
            <w:tcW w:w="1196" w:type="dxa"/>
          </w:tcPr>
          <w:p w14:paraId="05183E4C" w14:textId="5E627CFA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0E1AA6FB" w14:textId="5F1C8BFD" w:rsidR="00A87135" w:rsidRPr="005733C9" w:rsidRDefault="00BC5902" w:rsidP="00A8713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363C8">
              <w:rPr>
                <w:rFonts w:ascii="Arial" w:hAnsi="Arial" w:cs="Arial"/>
                <w:bCs/>
                <w:sz w:val="24"/>
                <w:szCs w:val="24"/>
              </w:rPr>
              <w:t>10 day holding letter/email is sent to customer</w:t>
            </w:r>
          </w:p>
        </w:tc>
      </w:tr>
      <w:tr w:rsidR="00956005" w:rsidRPr="00A87135" w14:paraId="233C7B29" w14:textId="77777777" w:rsidTr="00A25F67">
        <w:tc>
          <w:tcPr>
            <w:tcW w:w="421" w:type="dxa"/>
          </w:tcPr>
          <w:p w14:paraId="1B2A9D2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CDC403B" w14:textId="66AF8BBE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</w:t>
            </w:r>
            <w:r w:rsidR="00104662">
              <w:rPr>
                <w:rFonts w:ascii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satisfaction</w:t>
            </w:r>
          </w:p>
        </w:tc>
        <w:tc>
          <w:tcPr>
            <w:tcW w:w="1196" w:type="dxa"/>
            <w:shd w:val="clear" w:color="auto" w:fill="F7CAAC" w:themeFill="accent2" w:themeFillTint="66"/>
          </w:tcPr>
          <w:p w14:paraId="3898E775" w14:textId="61B38840" w:rsidR="0095600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5CF44D0B" w14:textId="32EC6C00" w:rsidR="00956005" w:rsidRPr="006A0B50" w:rsidRDefault="00B51D56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Q3</w:t>
            </w:r>
            <w:r w:rsidR="004C7298">
              <w:rPr>
                <w:rFonts w:ascii="Arial" w:hAnsi="Arial" w:cs="Arial"/>
                <w:bCs/>
                <w:sz w:val="24"/>
                <w:szCs w:val="24"/>
              </w:rPr>
              <w:t xml:space="preserve"> 21/22</w:t>
            </w:r>
          </w:p>
        </w:tc>
      </w:tr>
      <w:tr w:rsidR="00A87135" w:rsidRPr="00A87135" w14:paraId="472F53C9" w14:textId="77777777" w:rsidTr="00A25F67">
        <w:tc>
          <w:tcPr>
            <w:tcW w:w="421" w:type="dxa"/>
          </w:tcPr>
          <w:p w14:paraId="0C6BBA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14:paraId="1BE6D7CC" w14:textId="23ADEA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1196" w:type="dxa"/>
          </w:tcPr>
          <w:p w14:paraId="01F1745F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0A0A06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0824D17A" w14:textId="77777777" w:rsidTr="00A25F67">
        <w:tc>
          <w:tcPr>
            <w:tcW w:w="421" w:type="dxa"/>
          </w:tcPr>
          <w:p w14:paraId="7DAE1B0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B5114E0" w14:textId="66A62550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1196" w:type="dxa"/>
          </w:tcPr>
          <w:p w14:paraId="109A83C2" w14:textId="57CD9AAF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12BD6DAA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4DAEBE84" w14:textId="77777777" w:rsidTr="00A25F67">
        <w:tc>
          <w:tcPr>
            <w:tcW w:w="421" w:type="dxa"/>
          </w:tcPr>
          <w:p w14:paraId="0784EA1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148996" w14:textId="263CF2B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Start"/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timescale was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extended did we keep the Ombudsman informed?</w:t>
            </w:r>
          </w:p>
        </w:tc>
        <w:tc>
          <w:tcPr>
            <w:tcW w:w="1196" w:type="dxa"/>
          </w:tcPr>
          <w:p w14:paraId="5BEEF930" w14:textId="4D7AD92C" w:rsidR="00A87135" w:rsidRPr="003363C8" w:rsidRDefault="00BC5902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3C8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79DA7B07" w14:textId="62851DD5" w:rsidR="00A87135" w:rsidRPr="003363C8" w:rsidRDefault="00BC5902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3C8">
              <w:rPr>
                <w:rFonts w:ascii="Arial" w:hAnsi="Arial" w:cs="Arial"/>
                <w:bCs/>
                <w:sz w:val="24"/>
                <w:szCs w:val="24"/>
              </w:rPr>
              <w:t>Telephone/email request to extend</w:t>
            </w:r>
          </w:p>
        </w:tc>
      </w:tr>
      <w:tr w:rsidR="00A87135" w:rsidRPr="00A87135" w14:paraId="2B99B45E" w14:textId="77777777" w:rsidTr="00A25F67">
        <w:tc>
          <w:tcPr>
            <w:tcW w:w="421" w:type="dxa"/>
          </w:tcPr>
          <w:p w14:paraId="43CFBB4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14:paraId="135046C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1196" w:type="dxa"/>
          </w:tcPr>
          <w:p w14:paraId="09B8B5D6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248F4A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42587667" w14:textId="77777777" w:rsidTr="00A25F67">
        <w:tc>
          <w:tcPr>
            <w:tcW w:w="421" w:type="dxa"/>
          </w:tcPr>
          <w:p w14:paraId="42A9539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F983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1196" w:type="dxa"/>
          </w:tcPr>
          <w:p w14:paraId="232C3611" w14:textId="2366CBFC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7222F686" w14:textId="7D19D53E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per our complaints policy</w:t>
            </w:r>
          </w:p>
        </w:tc>
      </w:tr>
      <w:tr w:rsidR="00A87135" w:rsidRPr="00A87135" w14:paraId="0D403F93" w14:textId="77777777" w:rsidTr="00A25F67">
        <w:tc>
          <w:tcPr>
            <w:tcW w:w="421" w:type="dxa"/>
          </w:tcPr>
          <w:p w14:paraId="56C333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9A8CAED" w14:textId="64F2EE8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1196" w:type="dxa"/>
          </w:tcPr>
          <w:p w14:paraId="7B7D9752" w14:textId="79EC5E3D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1C2331F5" w14:textId="79D911BF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Option always exists for advice to be challenged</w:t>
            </w:r>
          </w:p>
        </w:tc>
      </w:tr>
      <w:tr w:rsidR="00A87135" w:rsidRPr="00A87135" w14:paraId="50D52A1D" w14:textId="77777777" w:rsidTr="00A25F67">
        <w:tc>
          <w:tcPr>
            <w:tcW w:w="421" w:type="dxa"/>
          </w:tcPr>
          <w:p w14:paraId="74D3AD6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7AF97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26593EF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1D2E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5298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14:paraId="59672E0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DCAC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87D3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7CAAC" w:themeFill="accent2" w:themeFillTint="66"/>
          </w:tcPr>
          <w:p w14:paraId="2699C012" w14:textId="45D83F78" w:rsidR="00A87135" w:rsidRDefault="00FA4D60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  <w:p w14:paraId="33248364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14B5D1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28BA25" w14:textId="0715DA70" w:rsidR="00DD5D0D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6E79C706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541CF98B" w14:textId="77777777" w:rsidTr="00A25F67">
        <w:tc>
          <w:tcPr>
            <w:tcW w:w="421" w:type="dxa"/>
          </w:tcPr>
          <w:p w14:paraId="1CBD7A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C234D2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1196" w:type="dxa"/>
          </w:tcPr>
          <w:p w14:paraId="615432A0" w14:textId="1595F0D5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5953" w:type="dxa"/>
          </w:tcPr>
          <w:p w14:paraId="76271351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12951CB1" w14:textId="77777777" w:rsidTr="00A25F67">
        <w:tc>
          <w:tcPr>
            <w:tcW w:w="421" w:type="dxa"/>
          </w:tcPr>
          <w:p w14:paraId="769E31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14:paraId="2DE65316" w14:textId="6C4974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1196" w:type="dxa"/>
          </w:tcPr>
          <w:p w14:paraId="780E348D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0302F4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238E4A80" w14:textId="77777777" w:rsidTr="00A25F67">
        <w:tc>
          <w:tcPr>
            <w:tcW w:w="421" w:type="dxa"/>
          </w:tcPr>
          <w:p w14:paraId="7D7A61C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B06FBD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something has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gone wrong are we taking appropriate steps to put things right?</w:t>
            </w:r>
          </w:p>
        </w:tc>
        <w:tc>
          <w:tcPr>
            <w:tcW w:w="1196" w:type="dxa"/>
          </w:tcPr>
          <w:p w14:paraId="35F774FE" w14:textId="03533E51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714FF59C" w14:textId="6B9D8CD1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Learnings from complaints</w:t>
            </w:r>
          </w:p>
        </w:tc>
      </w:tr>
      <w:tr w:rsidR="00A87135" w:rsidRPr="00A87135" w14:paraId="084C5DF1" w14:textId="77777777" w:rsidTr="00A25F67">
        <w:tc>
          <w:tcPr>
            <w:tcW w:w="421" w:type="dxa"/>
          </w:tcPr>
          <w:p w14:paraId="24CCC87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14:paraId="5F3397BB" w14:textId="70BFDB3E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1196" w:type="dxa"/>
          </w:tcPr>
          <w:p w14:paraId="5950CF9A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392BA7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61C4DAC2" w14:textId="77777777" w:rsidTr="00A25F67">
        <w:tc>
          <w:tcPr>
            <w:tcW w:w="421" w:type="dxa"/>
          </w:tcPr>
          <w:p w14:paraId="74BCA9D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4CC54E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</w:p>
          <w:p w14:paraId="2DE2EE6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FB06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7CAAC" w:themeFill="accent2" w:themeFillTint="66"/>
          </w:tcPr>
          <w:p w14:paraId="217ECC2A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7CAAC" w:themeFill="accent2" w:themeFillTint="66"/>
          </w:tcPr>
          <w:p w14:paraId="6623C650" w14:textId="77777777" w:rsidR="00A87135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Examples include</w:t>
            </w:r>
          </w:p>
          <w:p w14:paraId="7D89DD5A" w14:textId="77777777" w:rsidR="00DD5D0D" w:rsidRPr="00E048E6" w:rsidRDefault="00DD5D0D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48E6">
              <w:rPr>
                <w:rFonts w:ascii="Arial" w:hAnsi="Arial" w:cs="Arial"/>
                <w:bCs/>
                <w:sz w:val="24"/>
                <w:szCs w:val="24"/>
              </w:rPr>
              <w:t>Improving the wording on RTB letters to clarify timescales</w:t>
            </w:r>
          </w:p>
          <w:p w14:paraId="6AA6990C" w14:textId="77777777" w:rsidR="00DD5D0D" w:rsidRPr="00E048E6" w:rsidRDefault="00DD5D0D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48E6">
              <w:rPr>
                <w:rFonts w:ascii="Arial" w:hAnsi="Arial" w:cs="Arial"/>
                <w:bCs/>
                <w:sz w:val="24"/>
                <w:szCs w:val="24"/>
              </w:rPr>
              <w:t>Capturing of works following inspections into responsive works timeframes</w:t>
            </w:r>
          </w:p>
          <w:p w14:paraId="19B9F7A9" w14:textId="77777777" w:rsidR="004C7298" w:rsidRPr="00E048E6" w:rsidRDefault="004C7298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48E6">
              <w:rPr>
                <w:rFonts w:ascii="Arial" w:hAnsi="Arial" w:cs="Arial"/>
                <w:bCs/>
                <w:sz w:val="24"/>
                <w:szCs w:val="24"/>
              </w:rPr>
              <w:t>Improvement contract management in particular where multiple contractors are involved in the same case</w:t>
            </w:r>
          </w:p>
          <w:p w14:paraId="20339633" w14:textId="77777777" w:rsidR="004C7298" w:rsidRPr="00E048E6" w:rsidRDefault="004C7298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48E6">
              <w:rPr>
                <w:rFonts w:ascii="Arial" w:hAnsi="Arial" w:cs="Arial"/>
                <w:bCs/>
                <w:sz w:val="24"/>
                <w:szCs w:val="24"/>
              </w:rPr>
              <w:t xml:space="preserve">Improved analysis and investigation where multi skilled operatives are required to </w:t>
            </w:r>
            <w:proofErr w:type="gramStart"/>
            <w:r w:rsidRPr="00E048E6">
              <w:rPr>
                <w:rFonts w:ascii="Arial" w:hAnsi="Arial" w:cs="Arial"/>
                <w:bCs/>
                <w:sz w:val="24"/>
                <w:szCs w:val="24"/>
              </w:rPr>
              <w:t>effect</w:t>
            </w:r>
            <w:proofErr w:type="gramEnd"/>
            <w:r w:rsidRPr="00E048E6">
              <w:rPr>
                <w:rFonts w:ascii="Arial" w:hAnsi="Arial" w:cs="Arial"/>
                <w:bCs/>
                <w:sz w:val="24"/>
                <w:szCs w:val="24"/>
              </w:rPr>
              <w:t xml:space="preserve"> the repair</w:t>
            </w:r>
          </w:p>
          <w:p w14:paraId="1B8A366D" w14:textId="77777777" w:rsidR="00E048E6" w:rsidRPr="00E048E6" w:rsidRDefault="00E048E6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48E6">
              <w:rPr>
                <w:rFonts w:ascii="Arial" w:hAnsi="Arial" w:cs="Arial"/>
                <w:bCs/>
                <w:sz w:val="24"/>
                <w:szCs w:val="24"/>
              </w:rPr>
              <w:t>Impact of lockdown on ASB cases – upskilling Ward Councillors to better respond to cases at first contact.</w:t>
            </w:r>
          </w:p>
          <w:p w14:paraId="08D8450C" w14:textId="77777777" w:rsidR="00E048E6" w:rsidRDefault="00E048E6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48E6">
              <w:rPr>
                <w:rFonts w:ascii="Arial" w:hAnsi="Arial" w:cs="Arial"/>
                <w:bCs/>
                <w:sz w:val="24"/>
                <w:szCs w:val="24"/>
              </w:rPr>
              <w:t>Being aware of local surroundings when discussing tenancy issues</w:t>
            </w:r>
          </w:p>
          <w:p w14:paraId="186B2706" w14:textId="565ACE46" w:rsidR="00E048E6" w:rsidRPr="00E048E6" w:rsidRDefault="00E048E6" w:rsidP="00E048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Increased flexibility where covid restrictions mean the service is unable to fully support/engage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mutual exchanges visits</w:t>
            </w:r>
          </w:p>
        </w:tc>
      </w:tr>
      <w:tr w:rsidR="00A87135" w:rsidRPr="00A87135" w14:paraId="11BA1C7E" w14:textId="77777777" w:rsidTr="00A25F67">
        <w:tc>
          <w:tcPr>
            <w:tcW w:w="421" w:type="dxa"/>
          </w:tcPr>
          <w:p w14:paraId="58092C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2FF0286" w14:textId="0B4AC294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do we share these lessons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3C10BEB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0A1C8" w14:textId="6F25C170" w:rsidR="00A87135" w:rsidRPr="00A87135" w:rsidRDefault="00104662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esidents?</w:t>
            </w:r>
          </w:p>
          <w:p w14:paraId="20FB5DC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941B" w14:textId="77777777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</w:p>
          <w:p w14:paraId="5620BBB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D7CF" w14:textId="593DCE84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</w:p>
          <w:p w14:paraId="33DCFDD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3BC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B592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7CAAC" w:themeFill="accent2" w:themeFillTint="66"/>
          </w:tcPr>
          <w:p w14:paraId="27EF88F3" w14:textId="77777777" w:rsidR="00A87135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81799D" w14:textId="77777777" w:rsidR="003B0097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26781D" w14:textId="77777777" w:rsidR="003B0097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BC0655" w14:textId="77777777" w:rsidR="003B0097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59BF3A" w14:textId="77777777" w:rsidR="003B0097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709984" w14:textId="77777777" w:rsidR="003B0097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47E823" w14:textId="5D022387" w:rsidR="003B0097" w:rsidRPr="006A0B50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3C8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21B1C92F" w14:textId="77777777" w:rsidR="00A87135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8AC73C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8C5C5F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Performance &amp; Finance Working Group, Resident Involvement</w:t>
            </w:r>
          </w:p>
          <w:p w14:paraId="1C89B044" w14:textId="1103CD26" w:rsidR="00DD5D0D" w:rsidRDefault="003B0097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3C8">
              <w:rPr>
                <w:rFonts w:ascii="Arial" w:hAnsi="Arial" w:cs="Arial"/>
                <w:bCs/>
                <w:sz w:val="24"/>
                <w:szCs w:val="24"/>
              </w:rPr>
              <w:t xml:space="preserve">Monthly and Quarterly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Performance Reporting</w:t>
            </w:r>
          </w:p>
          <w:p w14:paraId="037449BA" w14:textId="77777777" w:rsidR="00DD5D0D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A15EAE" w14:textId="67222BF1" w:rsidR="00DD5D0D" w:rsidRPr="003B0097" w:rsidRDefault="00DD5D0D" w:rsidP="00A8713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87135" w:rsidRPr="00A87135" w14:paraId="4EC81253" w14:textId="77777777" w:rsidTr="00A25F67">
        <w:trPr>
          <w:trHeight w:val="806"/>
        </w:trPr>
        <w:tc>
          <w:tcPr>
            <w:tcW w:w="421" w:type="dxa"/>
          </w:tcPr>
          <w:p w14:paraId="2BE3DB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F59394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</w:tc>
        <w:tc>
          <w:tcPr>
            <w:tcW w:w="1196" w:type="dxa"/>
          </w:tcPr>
          <w:p w14:paraId="7CF83C66" w14:textId="40F8B07A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53" w:type="dxa"/>
          </w:tcPr>
          <w:p w14:paraId="5A3217CE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135" w:rsidRPr="00A87135" w14:paraId="5EB4EDBD" w14:textId="77777777" w:rsidTr="00A25F67">
        <w:trPr>
          <w:trHeight w:val="806"/>
        </w:trPr>
        <w:tc>
          <w:tcPr>
            <w:tcW w:w="421" w:type="dxa"/>
          </w:tcPr>
          <w:p w14:paraId="6C73E7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59246AD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</w:tc>
        <w:tc>
          <w:tcPr>
            <w:tcW w:w="1196" w:type="dxa"/>
            <w:shd w:val="clear" w:color="auto" w:fill="F7CAAC" w:themeFill="accent2" w:themeFillTint="66"/>
          </w:tcPr>
          <w:p w14:paraId="47AE2267" w14:textId="77777777" w:rsidR="00A87135" w:rsidRPr="006A0B50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7CAAC" w:themeFill="accent2" w:themeFillTint="66"/>
          </w:tcPr>
          <w:p w14:paraId="7E6AB529" w14:textId="105FC837" w:rsidR="00A87135" w:rsidRPr="006A0B50" w:rsidRDefault="00DD5D0D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Raised the profile and importance of responding to Ombudsman enquiries</w:t>
            </w:r>
          </w:p>
        </w:tc>
      </w:tr>
    </w:tbl>
    <w:p w14:paraId="5E1151A3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75BC38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14C2A0AA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39C7B3F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29175B88" w14:textId="77777777" w:rsidR="00AA2A1E" w:rsidRDefault="00AA2A1E"/>
    <w:sectPr w:rsidR="00AA2A1E" w:rsidSect="00A25F6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8CAA" w14:textId="77777777" w:rsidR="00DE55C6" w:rsidRDefault="00DE55C6">
      <w:pPr>
        <w:spacing w:after="0" w:line="240" w:lineRule="auto"/>
      </w:pPr>
      <w:r>
        <w:separator/>
      </w:r>
    </w:p>
  </w:endnote>
  <w:endnote w:type="continuationSeparator" w:id="0">
    <w:p w14:paraId="3B553AEB" w14:textId="77777777" w:rsidR="00DE55C6" w:rsidRDefault="00DE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E64" w14:textId="582746DE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D56">
      <w:rPr>
        <w:noProof/>
      </w:rPr>
      <w:t>1</w:t>
    </w:r>
    <w:r>
      <w:fldChar w:fldCharType="end"/>
    </w:r>
  </w:p>
  <w:p w14:paraId="52DAE6B2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18A4" w14:textId="77777777" w:rsidR="00DE55C6" w:rsidRDefault="00DE55C6">
      <w:pPr>
        <w:spacing w:after="0" w:line="240" w:lineRule="auto"/>
      </w:pPr>
      <w:r>
        <w:separator/>
      </w:r>
    </w:p>
  </w:footnote>
  <w:footnote w:type="continuationSeparator" w:id="0">
    <w:p w14:paraId="7BF6CE2F" w14:textId="77777777" w:rsidR="00DE55C6" w:rsidRDefault="00DE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BF023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0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51047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824980">
    <w:abstractNumId w:val="8"/>
  </w:num>
  <w:num w:numId="3" w16cid:durableId="592402781">
    <w:abstractNumId w:val="27"/>
  </w:num>
  <w:num w:numId="4" w16cid:durableId="1082222426">
    <w:abstractNumId w:val="5"/>
  </w:num>
  <w:num w:numId="5" w16cid:durableId="545723388">
    <w:abstractNumId w:val="30"/>
  </w:num>
  <w:num w:numId="6" w16cid:durableId="716782567">
    <w:abstractNumId w:val="19"/>
  </w:num>
  <w:num w:numId="7" w16cid:durableId="904798038">
    <w:abstractNumId w:val="15"/>
  </w:num>
  <w:num w:numId="8" w16cid:durableId="1226375168">
    <w:abstractNumId w:val="24"/>
  </w:num>
  <w:num w:numId="9" w16cid:durableId="201526990">
    <w:abstractNumId w:val="2"/>
  </w:num>
  <w:num w:numId="10" w16cid:durableId="1830167515">
    <w:abstractNumId w:val="26"/>
  </w:num>
  <w:num w:numId="11" w16cid:durableId="266624348">
    <w:abstractNumId w:val="21"/>
  </w:num>
  <w:num w:numId="12" w16cid:durableId="168983207">
    <w:abstractNumId w:val="7"/>
  </w:num>
  <w:num w:numId="13" w16cid:durableId="1354914215">
    <w:abstractNumId w:val="20"/>
  </w:num>
  <w:num w:numId="14" w16cid:durableId="968972754">
    <w:abstractNumId w:val="0"/>
  </w:num>
  <w:num w:numId="15" w16cid:durableId="530386677">
    <w:abstractNumId w:val="1"/>
  </w:num>
  <w:num w:numId="16" w16cid:durableId="1450202928">
    <w:abstractNumId w:val="11"/>
  </w:num>
  <w:num w:numId="17" w16cid:durableId="1612128571">
    <w:abstractNumId w:val="22"/>
  </w:num>
  <w:num w:numId="18" w16cid:durableId="1346131430">
    <w:abstractNumId w:val="23"/>
  </w:num>
  <w:num w:numId="19" w16cid:durableId="2041935133">
    <w:abstractNumId w:val="25"/>
  </w:num>
  <w:num w:numId="20" w16cid:durableId="1957129550">
    <w:abstractNumId w:val="4"/>
  </w:num>
  <w:num w:numId="21" w16cid:durableId="1709338229">
    <w:abstractNumId w:val="13"/>
  </w:num>
  <w:num w:numId="22" w16cid:durableId="1277635470">
    <w:abstractNumId w:val="6"/>
  </w:num>
  <w:num w:numId="23" w16cid:durableId="214662750">
    <w:abstractNumId w:val="16"/>
  </w:num>
  <w:num w:numId="24" w16cid:durableId="1565334643">
    <w:abstractNumId w:val="18"/>
  </w:num>
  <w:num w:numId="25" w16cid:durableId="122891743">
    <w:abstractNumId w:val="3"/>
  </w:num>
  <w:num w:numId="26" w16cid:durableId="369572061">
    <w:abstractNumId w:val="29"/>
  </w:num>
  <w:num w:numId="27" w16cid:durableId="970598246">
    <w:abstractNumId w:val="14"/>
  </w:num>
  <w:num w:numId="28" w16cid:durableId="1356689275">
    <w:abstractNumId w:val="12"/>
  </w:num>
  <w:num w:numId="29" w16cid:durableId="475994347">
    <w:abstractNumId w:val="28"/>
  </w:num>
  <w:num w:numId="30" w16cid:durableId="1921207792">
    <w:abstractNumId w:val="9"/>
  </w:num>
  <w:num w:numId="31" w16cid:durableId="764615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36"/>
    <w:rsid w:val="000427F6"/>
    <w:rsid w:val="00084267"/>
    <w:rsid w:val="000857ED"/>
    <w:rsid w:val="0008689D"/>
    <w:rsid w:val="00087092"/>
    <w:rsid w:val="00104662"/>
    <w:rsid w:val="00134085"/>
    <w:rsid w:val="00160EB1"/>
    <w:rsid w:val="001709B9"/>
    <w:rsid w:val="001B5A62"/>
    <w:rsid w:val="001B65FF"/>
    <w:rsid w:val="001E11D8"/>
    <w:rsid w:val="001E37E3"/>
    <w:rsid w:val="001F3B59"/>
    <w:rsid w:val="00200F95"/>
    <w:rsid w:val="00205A7A"/>
    <w:rsid w:val="00217355"/>
    <w:rsid w:val="00221E8A"/>
    <w:rsid w:val="00226EC5"/>
    <w:rsid w:val="002B6179"/>
    <w:rsid w:val="002D68B7"/>
    <w:rsid w:val="002E4C11"/>
    <w:rsid w:val="002F3FE6"/>
    <w:rsid w:val="0031190E"/>
    <w:rsid w:val="00315110"/>
    <w:rsid w:val="003363C8"/>
    <w:rsid w:val="003706D6"/>
    <w:rsid w:val="003979C4"/>
    <w:rsid w:val="003A3A60"/>
    <w:rsid w:val="003A7227"/>
    <w:rsid w:val="003B0097"/>
    <w:rsid w:val="003B7402"/>
    <w:rsid w:val="003B7EA6"/>
    <w:rsid w:val="003D7E8C"/>
    <w:rsid w:val="00407273"/>
    <w:rsid w:val="00441291"/>
    <w:rsid w:val="004424AD"/>
    <w:rsid w:val="00453A54"/>
    <w:rsid w:val="004734AB"/>
    <w:rsid w:val="0048676A"/>
    <w:rsid w:val="00492042"/>
    <w:rsid w:val="004A1788"/>
    <w:rsid w:val="004A2EAE"/>
    <w:rsid w:val="004C7298"/>
    <w:rsid w:val="004D1037"/>
    <w:rsid w:val="00524B80"/>
    <w:rsid w:val="00533C3F"/>
    <w:rsid w:val="00545385"/>
    <w:rsid w:val="005471BE"/>
    <w:rsid w:val="00551AE4"/>
    <w:rsid w:val="005728AC"/>
    <w:rsid w:val="005733C9"/>
    <w:rsid w:val="005A144C"/>
    <w:rsid w:val="005E53F4"/>
    <w:rsid w:val="005E604D"/>
    <w:rsid w:val="006079F3"/>
    <w:rsid w:val="00620630"/>
    <w:rsid w:val="00620F36"/>
    <w:rsid w:val="00621FBC"/>
    <w:rsid w:val="006300C9"/>
    <w:rsid w:val="00646157"/>
    <w:rsid w:val="00684349"/>
    <w:rsid w:val="006A0B50"/>
    <w:rsid w:val="006A6E91"/>
    <w:rsid w:val="006B00D4"/>
    <w:rsid w:val="006C7618"/>
    <w:rsid w:val="00736C1E"/>
    <w:rsid w:val="00771000"/>
    <w:rsid w:val="00787865"/>
    <w:rsid w:val="00792D0E"/>
    <w:rsid w:val="007F45A2"/>
    <w:rsid w:val="00823608"/>
    <w:rsid w:val="008361A7"/>
    <w:rsid w:val="00863592"/>
    <w:rsid w:val="00863DD0"/>
    <w:rsid w:val="00881CD9"/>
    <w:rsid w:val="008865BD"/>
    <w:rsid w:val="008A22C7"/>
    <w:rsid w:val="008A5A0B"/>
    <w:rsid w:val="008C2BEF"/>
    <w:rsid w:val="008D2D66"/>
    <w:rsid w:val="008E1DD7"/>
    <w:rsid w:val="009015F8"/>
    <w:rsid w:val="009060BF"/>
    <w:rsid w:val="00936CC4"/>
    <w:rsid w:val="00945187"/>
    <w:rsid w:val="00956005"/>
    <w:rsid w:val="00964399"/>
    <w:rsid w:val="00993CF1"/>
    <w:rsid w:val="00996E24"/>
    <w:rsid w:val="009B79F8"/>
    <w:rsid w:val="009F3989"/>
    <w:rsid w:val="00A25F67"/>
    <w:rsid w:val="00A418F5"/>
    <w:rsid w:val="00A52236"/>
    <w:rsid w:val="00A60CF2"/>
    <w:rsid w:val="00A61A6D"/>
    <w:rsid w:val="00A72AAB"/>
    <w:rsid w:val="00A76474"/>
    <w:rsid w:val="00A87135"/>
    <w:rsid w:val="00AA2A1E"/>
    <w:rsid w:val="00AB66DE"/>
    <w:rsid w:val="00B10662"/>
    <w:rsid w:val="00B51D56"/>
    <w:rsid w:val="00B56A9B"/>
    <w:rsid w:val="00B76672"/>
    <w:rsid w:val="00B95CA8"/>
    <w:rsid w:val="00B96B56"/>
    <w:rsid w:val="00BC5902"/>
    <w:rsid w:val="00BD4073"/>
    <w:rsid w:val="00BD7388"/>
    <w:rsid w:val="00BE198E"/>
    <w:rsid w:val="00BE247A"/>
    <w:rsid w:val="00BE630E"/>
    <w:rsid w:val="00C27E0B"/>
    <w:rsid w:val="00CA6F5C"/>
    <w:rsid w:val="00D06852"/>
    <w:rsid w:val="00D17C82"/>
    <w:rsid w:val="00D5257A"/>
    <w:rsid w:val="00D60D30"/>
    <w:rsid w:val="00DD4C69"/>
    <w:rsid w:val="00DD5D0D"/>
    <w:rsid w:val="00DE55C6"/>
    <w:rsid w:val="00DF644C"/>
    <w:rsid w:val="00E048E6"/>
    <w:rsid w:val="00E67D96"/>
    <w:rsid w:val="00E7695C"/>
    <w:rsid w:val="00E81994"/>
    <w:rsid w:val="00E877E1"/>
    <w:rsid w:val="00E91E0E"/>
    <w:rsid w:val="00E964A3"/>
    <w:rsid w:val="00EA558F"/>
    <w:rsid w:val="00EA77BC"/>
    <w:rsid w:val="00EB68F4"/>
    <w:rsid w:val="00EF0027"/>
    <w:rsid w:val="00F43E42"/>
    <w:rsid w:val="00F642EF"/>
    <w:rsid w:val="00F728FE"/>
    <w:rsid w:val="00F74F3B"/>
    <w:rsid w:val="00F77FED"/>
    <w:rsid w:val="00F90E75"/>
    <w:rsid w:val="00FA4D60"/>
    <w:rsid w:val="00FE1496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wleics.gov.uk/files/documents/complaints_procedure/Complaints%20Procedure%20-%20Nov%20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DAVID MOXON</cp:lastModifiedBy>
  <cp:revision>2</cp:revision>
  <cp:lastPrinted>2020-10-30T15:52:00Z</cp:lastPrinted>
  <dcterms:created xsi:type="dcterms:W3CDTF">2022-05-10T07:44:00Z</dcterms:created>
  <dcterms:modified xsi:type="dcterms:W3CDTF">2022-05-10T07:44:00Z</dcterms:modified>
</cp:coreProperties>
</file>