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47B" w:rsidRDefault="0012047B" w:rsidP="0012047B">
      <w:pPr>
        <w:spacing w:after="200" w:line="276" w:lineRule="auto"/>
        <w:jc w:val="center"/>
        <w:rPr>
          <w:rFonts w:cs="Arial"/>
          <w:b/>
          <w:sz w:val="28"/>
          <w:szCs w:val="28"/>
        </w:rPr>
      </w:pPr>
    </w:p>
    <w:p w:rsidR="0012047B" w:rsidRPr="002D0F05" w:rsidRDefault="0012047B" w:rsidP="0012047B">
      <w:r w:rsidRPr="004E06EA">
        <w:rPr>
          <w:rFonts w:cs="Arial"/>
          <w:noProof/>
          <w:lang w:eastAsia="en-GB"/>
        </w:rPr>
        <w:drawing>
          <wp:inline distT="0" distB="0" distL="0" distR="0">
            <wp:extent cx="5283200" cy="3492500"/>
            <wp:effectExtent l="0" t="0" r="0" b="0"/>
            <wp:docPr id="1" name="Picture 1" descr="H:\Resident_Involement\Tenant Scrutiny Panel\TSP logo\T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esident_Involement\Tenant Scrutiny Panel\TSP logo\TSP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3200" cy="3492500"/>
                    </a:xfrm>
                    <a:prstGeom prst="rect">
                      <a:avLst/>
                    </a:prstGeom>
                    <a:noFill/>
                    <a:ln>
                      <a:noFill/>
                    </a:ln>
                  </pic:spPr>
                </pic:pic>
              </a:graphicData>
            </a:graphic>
          </wp:inline>
        </w:drawing>
      </w:r>
      <w:r w:rsidRPr="002D0F05">
        <w:t xml:space="preserve"> </w:t>
      </w:r>
    </w:p>
    <w:p w:rsidR="0012047B" w:rsidRPr="002D0F05" w:rsidRDefault="0012047B" w:rsidP="0012047B"/>
    <w:p w:rsidR="0012047B" w:rsidRPr="002D0F05" w:rsidRDefault="0012047B" w:rsidP="0012047B"/>
    <w:p w:rsidR="0012047B" w:rsidRPr="002D0F05" w:rsidRDefault="0012047B" w:rsidP="0012047B">
      <w:pPr>
        <w:rPr>
          <w:rFonts w:cs="Arial"/>
          <w:b/>
          <w:sz w:val="36"/>
          <w:szCs w:val="36"/>
        </w:rPr>
      </w:pPr>
      <w:r w:rsidRPr="002D0F05">
        <w:rPr>
          <w:rFonts w:cs="Arial"/>
          <w:b/>
          <w:sz w:val="36"/>
          <w:szCs w:val="36"/>
        </w:rPr>
        <w:t>Tenant Scrutiny Panel</w:t>
      </w:r>
    </w:p>
    <w:p w:rsidR="0012047B" w:rsidRPr="002D0F05" w:rsidRDefault="0012047B" w:rsidP="0012047B">
      <w:pPr>
        <w:rPr>
          <w:rFonts w:cs="Arial"/>
          <w:b/>
          <w:sz w:val="36"/>
          <w:szCs w:val="36"/>
        </w:rPr>
      </w:pPr>
      <w:r w:rsidRPr="002D0F05">
        <w:rPr>
          <w:rFonts w:cs="Arial"/>
          <w:b/>
          <w:sz w:val="36"/>
          <w:szCs w:val="36"/>
        </w:rPr>
        <w:t>Report on:</w:t>
      </w:r>
    </w:p>
    <w:p w:rsidR="0012047B" w:rsidRPr="002D0F05" w:rsidRDefault="0012047B" w:rsidP="0012047B">
      <w:pPr>
        <w:rPr>
          <w:rFonts w:cs="Arial"/>
          <w:b/>
          <w:sz w:val="36"/>
          <w:szCs w:val="36"/>
        </w:rPr>
      </w:pPr>
      <w:r>
        <w:rPr>
          <w:rFonts w:cs="Arial"/>
          <w:b/>
          <w:sz w:val="36"/>
          <w:szCs w:val="36"/>
        </w:rPr>
        <w:t xml:space="preserve">The Leasing of </w:t>
      </w:r>
      <w:r w:rsidRPr="002D0F05">
        <w:rPr>
          <w:rFonts w:cs="Arial"/>
          <w:b/>
          <w:sz w:val="36"/>
          <w:szCs w:val="36"/>
        </w:rPr>
        <w:t>Garages &amp; Garage Sites</w:t>
      </w:r>
    </w:p>
    <w:p w:rsidR="0012047B" w:rsidRPr="002D0F05" w:rsidRDefault="0012047B" w:rsidP="0012047B">
      <w:pPr>
        <w:rPr>
          <w:rFonts w:cs="Arial"/>
          <w:b/>
          <w:sz w:val="36"/>
          <w:szCs w:val="36"/>
        </w:rPr>
      </w:pPr>
    </w:p>
    <w:p w:rsidR="0012047B" w:rsidRPr="002D0F05" w:rsidRDefault="0012047B" w:rsidP="0012047B">
      <w:pPr>
        <w:rPr>
          <w:rFonts w:cs="Arial"/>
          <w:b/>
          <w:sz w:val="36"/>
          <w:szCs w:val="36"/>
        </w:rPr>
      </w:pPr>
    </w:p>
    <w:p w:rsidR="0012047B" w:rsidRPr="002D0F05" w:rsidRDefault="0012047B" w:rsidP="0012047B">
      <w:pPr>
        <w:rPr>
          <w:rFonts w:cs="Arial"/>
          <w:b/>
          <w:sz w:val="36"/>
          <w:szCs w:val="36"/>
        </w:rPr>
      </w:pPr>
      <w:r w:rsidRPr="002D0F05">
        <w:rPr>
          <w:rFonts w:cs="Arial"/>
          <w:b/>
          <w:sz w:val="36"/>
          <w:szCs w:val="36"/>
        </w:rPr>
        <w:t>March 2021</w:t>
      </w:r>
    </w:p>
    <w:p w:rsidR="0012047B" w:rsidRPr="002D0F05" w:rsidRDefault="0012047B" w:rsidP="0012047B">
      <w:pPr>
        <w:rPr>
          <w:rFonts w:cs="Arial"/>
          <w:b/>
          <w:sz w:val="36"/>
          <w:szCs w:val="36"/>
        </w:rPr>
      </w:pPr>
    </w:p>
    <w:p w:rsidR="0012047B" w:rsidRPr="002D0F05" w:rsidRDefault="0012047B" w:rsidP="0012047B">
      <w:pPr>
        <w:rPr>
          <w:rFonts w:cs="Arial"/>
          <w:b/>
          <w:sz w:val="36"/>
          <w:szCs w:val="36"/>
        </w:rPr>
      </w:pPr>
    </w:p>
    <w:p w:rsidR="0012047B" w:rsidRPr="002D0F05" w:rsidRDefault="0012047B" w:rsidP="0012047B">
      <w:pPr>
        <w:jc w:val="center"/>
        <w:rPr>
          <w:rFonts w:cs="Arial"/>
          <w:b/>
          <w:sz w:val="36"/>
          <w:szCs w:val="36"/>
        </w:rPr>
      </w:pPr>
      <w:r w:rsidRPr="002D0F05">
        <w:rPr>
          <w:rFonts w:cs="Arial"/>
          <w:b/>
          <w:sz w:val="36"/>
          <w:szCs w:val="36"/>
        </w:rPr>
        <w:br w:type="page"/>
      </w:r>
      <w:r w:rsidRPr="002D0F05">
        <w:rPr>
          <w:rFonts w:cs="Arial"/>
          <w:b/>
          <w:sz w:val="36"/>
          <w:szCs w:val="36"/>
        </w:rPr>
        <w:lastRenderedPageBreak/>
        <w:t>CONTENTS:</w:t>
      </w:r>
    </w:p>
    <w:p w:rsidR="0012047B" w:rsidRPr="002D0F05" w:rsidRDefault="0012047B" w:rsidP="0012047B">
      <w:pPr>
        <w:rPr>
          <w:rFonts w:cs="Arial"/>
          <w:sz w:val="28"/>
          <w:szCs w:val="28"/>
        </w:rPr>
      </w:pPr>
      <w:r w:rsidRPr="002D0F05">
        <w:rPr>
          <w:rFonts w:cs="Arial"/>
          <w:sz w:val="28"/>
          <w:szCs w:val="28"/>
        </w:rPr>
        <w:tab/>
      </w:r>
    </w:p>
    <w:p w:rsidR="0012047B" w:rsidRPr="002D0F05" w:rsidRDefault="0012047B" w:rsidP="0012047B">
      <w:pPr>
        <w:rPr>
          <w:rFonts w:cs="Arial"/>
          <w:sz w:val="28"/>
          <w:szCs w:val="28"/>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1134"/>
      </w:tblGrid>
      <w:tr w:rsidR="0012047B" w:rsidRPr="002D0F05" w:rsidTr="00F64843">
        <w:trPr>
          <w:trHeight w:val="1029"/>
        </w:trPr>
        <w:tc>
          <w:tcPr>
            <w:tcW w:w="8931" w:type="dxa"/>
          </w:tcPr>
          <w:p w:rsidR="0012047B" w:rsidRPr="002D0F05" w:rsidRDefault="0012047B" w:rsidP="00F64843">
            <w:pPr>
              <w:jc w:val="center"/>
              <w:rPr>
                <w:rFonts w:cs="Arial"/>
                <w:b/>
                <w:sz w:val="28"/>
                <w:szCs w:val="28"/>
              </w:rPr>
            </w:pPr>
          </w:p>
          <w:p w:rsidR="0012047B" w:rsidRPr="002D0F05" w:rsidRDefault="0012047B" w:rsidP="00F64843">
            <w:pPr>
              <w:jc w:val="center"/>
              <w:rPr>
                <w:rFonts w:cs="Arial"/>
                <w:b/>
                <w:sz w:val="28"/>
                <w:szCs w:val="28"/>
              </w:rPr>
            </w:pPr>
            <w:r w:rsidRPr="002D0F05">
              <w:rPr>
                <w:rFonts w:cs="Arial"/>
                <w:b/>
                <w:sz w:val="28"/>
                <w:szCs w:val="28"/>
              </w:rPr>
              <w:t>Section:</w:t>
            </w:r>
          </w:p>
          <w:p w:rsidR="0012047B" w:rsidRPr="002D0F05" w:rsidRDefault="0012047B" w:rsidP="00F64843">
            <w:pPr>
              <w:jc w:val="center"/>
              <w:rPr>
                <w:rFonts w:cs="Arial"/>
                <w:b/>
                <w:sz w:val="28"/>
                <w:szCs w:val="28"/>
              </w:rPr>
            </w:pPr>
          </w:p>
        </w:tc>
        <w:tc>
          <w:tcPr>
            <w:tcW w:w="1134" w:type="dxa"/>
          </w:tcPr>
          <w:p w:rsidR="0012047B" w:rsidRPr="002D0F05" w:rsidRDefault="0012047B" w:rsidP="00F64843">
            <w:pPr>
              <w:jc w:val="center"/>
              <w:rPr>
                <w:rFonts w:cs="Arial"/>
                <w:b/>
                <w:bCs/>
                <w:sz w:val="28"/>
                <w:szCs w:val="28"/>
              </w:rPr>
            </w:pPr>
          </w:p>
          <w:p w:rsidR="0012047B" w:rsidRPr="002D0F05" w:rsidRDefault="0012047B" w:rsidP="00F64843">
            <w:pPr>
              <w:jc w:val="center"/>
              <w:rPr>
                <w:rFonts w:cs="Arial"/>
                <w:b/>
                <w:sz w:val="28"/>
                <w:szCs w:val="28"/>
              </w:rPr>
            </w:pPr>
            <w:r w:rsidRPr="002D0F05">
              <w:rPr>
                <w:rFonts w:cs="Arial"/>
                <w:b/>
                <w:bCs/>
                <w:sz w:val="28"/>
                <w:szCs w:val="28"/>
              </w:rPr>
              <w:t>Page:</w:t>
            </w:r>
          </w:p>
        </w:tc>
      </w:tr>
      <w:tr w:rsidR="0012047B" w:rsidRPr="002D0F05" w:rsidTr="00F64843">
        <w:trPr>
          <w:trHeight w:val="2074"/>
        </w:trPr>
        <w:tc>
          <w:tcPr>
            <w:tcW w:w="8931" w:type="dxa"/>
          </w:tcPr>
          <w:p w:rsidR="0012047B" w:rsidRPr="002D0F05" w:rsidRDefault="0012047B" w:rsidP="00F64843">
            <w:pPr>
              <w:spacing w:after="240"/>
              <w:ind w:left="720"/>
              <w:rPr>
                <w:rFonts w:cs="Arial"/>
                <w:sz w:val="28"/>
                <w:szCs w:val="28"/>
              </w:rPr>
            </w:pPr>
          </w:p>
          <w:p w:rsidR="0012047B" w:rsidRPr="002D0F05" w:rsidRDefault="0012047B" w:rsidP="0012047B">
            <w:pPr>
              <w:numPr>
                <w:ilvl w:val="0"/>
                <w:numId w:val="6"/>
              </w:numPr>
              <w:spacing w:after="240"/>
              <w:rPr>
                <w:rFonts w:cs="Arial"/>
                <w:sz w:val="28"/>
                <w:szCs w:val="28"/>
              </w:rPr>
            </w:pPr>
            <w:r w:rsidRPr="002D0F05">
              <w:rPr>
                <w:rFonts w:cs="Arial"/>
                <w:sz w:val="28"/>
                <w:szCs w:val="28"/>
              </w:rPr>
              <w:t>Acknowledgements</w:t>
            </w:r>
          </w:p>
          <w:p w:rsidR="0012047B" w:rsidRPr="002D0F05" w:rsidRDefault="0012047B" w:rsidP="0012047B">
            <w:pPr>
              <w:numPr>
                <w:ilvl w:val="0"/>
                <w:numId w:val="6"/>
              </w:numPr>
              <w:spacing w:after="240"/>
              <w:rPr>
                <w:rFonts w:cs="Arial"/>
                <w:sz w:val="28"/>
                <w:szCs w:val="28"/>
              </w:rPr>
            </w:pPr>
            <w:r w:rsidRPr="002D0F05">
              <w:rPr>
                <w:rFonts w:cs="Arial"/>
                <w:sz w:val="28"/>
                <w:szCs w:val="28"/>
              </w:rPr>
              <w:t>Executive Summary</w:t>
            </w:r>
          </w:p>
          <w:p w:rsidR="0012047B" w:rsidRPr="002D0F05" w:rsidRDefault="0012047B" w:rsidP="0012047B">
            <w:pPr>
              <w:numPr>
                <w:ilvl w:val="0"/>
                <w:numId w:val="6"/>
              </w:numPr>
              <w:spacing w:after="240"/>
              <w:rPr>
                <w:rFonts w:cs="Arial"/>
                <w:sz w:val="28"/>
                <w:szCs w:val="28"/>
              </w:rPr>
            </w:pPr>
            <w:r w:rsidRPr="002D0F05">
              <w:rPr>
                <w:rFonts w:cs="Arial"/>
                <w:sz w:val="28"/>
                <w:szCs w:val="28"/>
              </w:rPr>
              <w:t>Strengths</w:t>
            </w:r>
          </w:p>
          <w:p w:rsidR="0012047B" w:rsidRPr="002D0F05" w:rsidRDefault="0012047B" w:rsidP="0012047B">
            <w:pPr>
              <w:numPr>
                <w:ilvl w:val="0"/>
                <w:numId w:val="6"/>
              </w:numPr>
              <w:spacing w:after="240"/>
              <w:rPr>
                <w:rFonts w:cs="Arial"/>
                <w:sz w:val="28"/>
                <w:szCs w:val="28"/>
              </w:rPr>
            </w:pPr>
            <w:r w:rsidRPr="002D0F05">
              <w:rPr>
                <w:rFonts w:cs="Arial"/>
                <w:sz w:val="28"/>
                <w:szCs w:val="28"/>
              </w:rPr>
              <w:t>Vision and Strategy</w:t>
            </w:r>
          </w:p>
          <w:p w:rsidR="0012047B" w:rsidRPr="002D0F05" w:rsidRDefault="0012047B" w:rsidP="0012047B">
            <w:pPr>
              <w:numPr>
                <w:ilvl w:val="0"/>
                <w:numId w:val="6"/>
              </w:numPr>
              <w:spacing w:after="240"/>
              <w:rPr>
                <w:rFonts w:cs="Arial"/>
                <w:sz w:val="28"/>
                <w:szCs w:val="28"/>
              </w:rPr>
            </w:pPr>
            <w:r>
              <w:rPr>
                <w:rFonts w:cs="Arial"/>
                <w:sz w:val="28"/>
                <w:szCs w:val="28"/>
              </w:rPr>
              <w:t>Report</w:t>
            </w:r>
          </w:p>
          <w:p w:rsidR="0012047B" w:rsidRPr="002D0F05" w:rsidRDefault="0012047B" w:rsidP="0012047B">
            <w:pPr>
              <w:numPr>
                <w:ilvl w:val="0"/>
                <w:numId w:val="6"/>
              </w:numPr>
              <w:spacing w:after="240"/>
              <w:rPr>
                <w:rFonts w:cs="Arial"/>
                <w:sz w:val="28"/>
                <w:szCs w:val="28"/>
              </w:rPr>
            </w:pPr>
            <w:r>
              <w:rPr>
                <w:rFonts w:eastAsia="MS Mincho" w:cs="Arial"/>
                <w:sz w:val="28"/>
                <w:szCs w:val="28"/>
              </w:rPr>
              <w:t>Methodology</w:t>
            </w:r>
          </w:p>
          <w:p w:rsidR="0012047B" w:rsidRPr="002D0F05" w:rsidRDefault="0012047B" w:rsidP="0012047B">
            <w:pPr>
              <w:numPr>
                <w:ilvl w:val="0"/>
                <w:numId w:val="6"/>
              </w:numPr>
              <w:spacing w:after="240"/>
              <w:rPr>
                <w:rFonts w:cs="Arial"/>
                <w:sz w:val="28"/>
                <w:szCs w:val="28"/>
              </w:rPr>
            </w:pPr>
            <w:r w:rsidRPr="002D0F05">
              <w:rPr>
                <w:rFonts w:eastAsia="MS Mincho" w:cs="Arial"/>
                <w:sz w:val="28"/>
                <w:szCs w:val="28"/>
              </w:rPr>
              <w:t>Aims of the Exercise</w:t>
            </w:r>
          </w:p>
          <w:p w:rsidR="0012047B" w:rsidRPr="002D0F05" w:rsidRDefault="0012047B" w:rsidP="0012047B">
            <w:pPr>
              <w:numPr>
                <w:ilvl w:val="0"/>
                <w:numId w:val="6"/>
              </w:numPr>
              <w:spacing w:after="240"/>
              <w:rPr>
                <w:rFonts w:cs="Arial"/>
                <w:sz w:val="28"/>
                <w:szCs w:val="28"/>
              </w:rPr>
            </w:pPr>
            <w:r w:rsidRPr="002D0F05">
              <w:rPr>
                <w:rFonts w:cs="Arial"/>
                <w:sz w:val="28"/>
                <w:szCs w:val="28"/>
              </w:rPr>
              <w:t>Findings</w:t>
            </w:r>
          </w:p>
          <w:p w:rsidR="0012047B" w:rsidRPr="002D0F05" w:rsidRDefault="0012047B" w:rsidP="0012047B">
            <w:pPr>
              <w:numPr>
                <w:ilvl w:val="0"/>
                <w:numId w:val="6"/>
              </w:numPr>
              <w:spacing w:after="240"/>
              <w:rPr>
                <w:rFonts w:cs="Arial"/>
                <w:sz w:val="28"/>
                <w:szCs w:val="28"/>
              </w:rPr>
            </w:pPr>
            <w:r w:rsidRPr="002D0F05">
              <w:rPr>
                <w:rFonts w:cs="Arial"/>
                <w:sz w:val="28"/>
                <w:szCs w:val="28"/>
              </w:rPr>
              <w:t>Recommendations</w:t>
            </w:r>
          </w:p>
        </w:tc>
        <w:tc>
          <w:tcPr>
            <w:tcW w:w="1134" w:type="dxa"/>
          </w:tcPr>
          <w:p w:rsidR="0012047B" w:rsidRPr="002D0F05" w:rsidRDefault="0012047B" w:rsidP="00F64843">
            <w:pPr>
              <w:spacing w:after="240"/>
              <w:rPr>
                <w:rFonts w:cs="Arial"/>
                <w:sz w:val="28"/>
                <w:szCs w:val="28"/>
              </w:rPr>
            </w:pPr>
          </w:p>
          <w:p w:rsidR="0012047B" w:rsidRDefault="0012047B" w:rsidP="00F64843">
            <w:pPr>
              <w:spacing w:after="240"/>
              <w:jc w:val="center"/>
              <w:rPr>
                <w:rFonts w:cs="Arial"/>
                <w:sz w:val="28"/>
                <w:szCs w:val="28"/>
              </w:rPr>
            </w:pPr>
            <w:r>
              <w:rPr>
                <w:rFonts w:cs="Arial"/>
                <w:sz w:val="28"/>
                <w:szCs w:val="28"/>
              </w:rPr>
              <w:t>4</w:t>
            </w:r>
          </w:p>
          <w:p w:rsidR="0012047B" w:rsidRDefault="0012047B" w:rsidP="00F64843">
            <w:pPr>
              <w:spacing w:after="240"/>
              <w:jc w:val="center"/>
              <w:rPr>
                <w:rFonts w:cs="Arial"/>
                <w:sz w:val="28"/>
                <w:szCs w:val="28"/>
              </w:rPr>
            </w:pPr>
            <w:r>
              <w:rPr>
                <w:rFonts w:cs="Arial"/>
                <w:sz w:val="28"/>
                <w:szCs w:val="28"/>
              </w:rPr>
              <w:t>4</w:t>
            </w:r>
          </w:p>
          <w:p w:rsidR="0012047B" w:rsidRDefault="0012047B" w:rsidP="00F64843">
            <w:pPr>
              <w:spacing w:after="240"/>
              <w:jc w:val="center"/>
              <w:rPr>
                <w:rFonts w:cs="Arial"/>
                <w:sz w:val="28"/>
                <w:szCs w:val="28"/>
              </w:rPr>
            </w:pPr>
            <w:r>
              <w:rPr>
                <w:rFonts w:cs="Arial"/>
                <w:sz w:val="28"/>
                <w:szCs w:val="28"/>
              </w:rPr>
              <w:t>4</w:t>
            </w:r>
          </w:p>
          <w:p w:rsidR="0012047B" w:rsidRPr="002D0F05" w:rsidRDefault="0012047B" w:rsidP="00F64843">
            <w:pPr>
              <w:spacing w:after="240"/>
              <w:jc w:val="center"/>
              <w:rPr>
                <w:rFonts w:cs="Arial"/>
                <w:sz w:val="28"/>
                <w:szCs w:val="28"/>
              </w:rPr>
            </w:pPr>
            <w:r>
              <w:rPr>
                <w:rFonts w:cs="Arial"/>
                <w:sz w:val="28"/>
                <w:szCs w:val="28"/>
              </w:rPr>
              <w:t>4</w:t>
            </w:r>
          </w:p>
          <w:p w:rsidR="0012047B" w:rsidRPr="002D0F05" w:rsidRDefault="0012047B" w:rsidP="00F64843">
            <w:pPr>
              <w:spacing w:after="240"/>
              <w:jc w:val="center"/>
              <w:rPr>
                <w:rFonts w:cs="Arial"/>
                <w:sz w:val="28"/>
                <w:szCs w:val="28"/>
              </w:rPr>
            </w:pPr>
            <w:r>
              <w:rPr>
                <w:rFonts w:cs="Arial"/>
                <w:sz w:val="28"/>
                <w:szCs w:val="28"/>
              </w:rPr>
              <w:t>5</w:t>
            </w:r>
          </w:p>
          <w:p w:rsidR="0012047B" w:rsidRPr="002D0F05" w:rsidRDefault="0012047B" w:rsidP="00F64843">
            <w:pPr>
              <w:spacing w:after="240"/>
              <w:jc w:val="center"/>
              <w:rPr>
                <w:rFonts w:cs="Arial"/>
                <w:sz w:val="28"/>
                <w:szCs w:val="28"/>
              </w:rPr>
            </w:pPr>
            <w:r>
              <w:rPr>
                <w:rFonts w:cs="Arial"/>
                <w:sz w:val="28"/>
                <w:szCs w:val="28"/>
              </w:rPr>
              <w:t>5</w:t>
            </w:r>
          </w:p>
          <w:p w:rsidR="0012047B" w:rsidRDefault="0012047B" w:rsidP="00F64843">
            <w:pPr>
              <w:spacing w:after="240"/>
              <w:jc w:val="center"/>
              <w:rPr>
                <w:rFonts w:cs="Arial"/>
                <w:sz w:val="28"/>
                <w:szCs w:val="28"/>
              </w:rPr>
            </w:pPr>
            <w:r>
              <w:rPr>
                <w:rFonts w:cs="Arial"/>
                <w:sz w:val="28"/>
                <w:szCs w:val="28"/>
              </w:rPr>
              <w:t>5</w:t>
            </w:r>
          </w:p>
          <w:p w:rsidR="0012047B" w:rsidRPr="002D0F05" w:rsidRDefault="0012047B" w:rsidP="00F64843">
            <w:pPr>
              <w:spacing w:after="240"/>
              <w:jc w:val="center"/>
              <w:rPr>
                <w:rFonts w:cs="Arial"/>
                <w:sz w:val="28"/>
                <w:szCs w:val="28"/>
              </w:rPr>
            </w:pPr>
            <w:r>
              <w:rPr>
                <w:rFonts w:cs="Arial"/>
                <w:sz w:val="28"/>
                <w:szCs w:val="28"/>
              </w:rPr>
              <w:t>5</w:t>
            </w:r>
          </w:p>
          <w:p w:rsidR="0012047B" w:rsidRPr="002D0F05" w:rsidRDefault="0012047B" w:rsidP="00F64843">
            <w:pPr>
              <w:spacing w:after="240"/>
              <w:jc w:val="center"/>
              <w:rPr>
                <w:rFonts w:cs="Arial"/>
                <w:sz w:val="28"/>
                <w:szCs w:val="28"/>
              </w:rPr>
            </w:pPr>
            <w:r>
              <w:rPr>
                <w:rFonts w:cs="Arial"/>
                <w:sz w:val="28"/>
                <w:szCs w:val="28"/>
              </w:rPr>
              <w:t>6</w:t>
            </w:r>
          </w:p>
          <w:p w:rsidR="0012047B" w:rsidRPr="002D0F05" w:rsidRDefault="0012047B" w:rsidP="00F64843">
            <w:pPr>
              <w:spacing w:after="240"/>
              <w:jc w:val="center"/>
              <w:rPr>
                <w:rFonts w:cs="Arial"/>
                <w:sz w:val="28"/>
                <w:szCs w:val="28"/>
              </w:rPr>
            </w:pPr>
          </w:p>
          <w:p w:rsidR="0012047B" w:rsidRPr="002D0F05" w:rsidRDefault="0012047B" w:rsidP="00F64843">
            <w:pPr>
              <w:spacing w:after="240"/>
              <w:rPr>
                <w:rFonts w:cs="Arial"/>
                <w:sz w:val="28"/>
                <w:szCs w:val="28"/>
              </w:rPr>
            </w:pPr>
          </w:p>
          <w:p w:rsidR="0012047B" w:rsidRPr="002D0F05" w:rsidRDefault="0012047B" w:rsidP="00F64843">
            <w:pPr>
              <w:spacing w:after="240"/>
              <w:rPr>
                <w:rFonts w:cs="Arial"/>
                <w:sz w:val="28"/>
                <w:szCs w:val="28"/>
              </w:rPr>
            </w:pPr>
          </w:p>
        </w:tc>
      </w:tr>
      <w:tr w:rsidR="0012047B" w:rsidRPr="002D0F05" w:rsidTr="00F64843">
        <w:trPr>
          <w:trHeight w:val="1383"/>
        </w:trPr>
        <w:tc>
          <w:tcPr>
            <w:tcW w:w="8931" w:type="dxa"/>
          </w:tcPr>
          <w:p w:rsidR="0012047B" w:rsidRPr="002D0F05" w:rsidRDefault="0012047B" w:rsidP="00F64843">
            <w:pPr>
              <w:rPr>
                <w:rFonts w:cs="Arial"/>
                <w:sz w:val="28"/>
                <w:szCs w:val="28"/>
              </w:rPr>
            </w:pPr>
          </w:p>
          <w:p w:rsidR="0012047B" w:rsidRPr="002D0F05" w:rsidRDefault="0012047B" w:rsidP="00F64843">
            <w:pPr>
              <w:rPr>
                <w:rFonts w:cs="Arial"/>
                <w:b/>
              </w:rPr>
            </w:pPr>
            <w:r w:rsidRPr="002D0F05">
              <w:rPr>
                <w:rFonts w:cs="Arial"/>
                <w:b/>
              </w:rPr>
              <w:t>Appendices:</w:t>
            </w:r>
          </w:p>
          <w:p w:rsidR="0012047B" w:rsidRPr="002D0F05" w:rsidRDefault="0012047B" w:rsidP="00F64843">
            <w:pPr>
              <w:rPr>
                <w:rFonts w:cs="Arial"/>
              </w:rPr>
            </w:pPr>
          </w:p>
          <w:p w:rsidR="0012047B" w:rsidRPr="002D0F05" w:rsidRDefault="0012047B" w:rsidP="00F64843">
            <w:pPr>
              <w:spacing w:after="240"/>
              <w:rPr>
                <w:rFonts w:cs="Arial"/>
              </w:rPr>
            </w:pPr>
            <w:r w:rsidRPr="002D0F05">
              <w:rPr>
                <w:rFonts w:cs="Arial"/>
              </w:rPr>
              <w:t>Appendix 1</w:t>
            </w:r>
            <w:r>
              <w:rPr>
                <w:rFonts w:cs="Arial"/>
              </w:rPr>
              <w:t xml:space="preserve"> -</w:t>
            </w:r>
            <w:r w:rsidRPr="002D0F05">
              <w:rPr>
                <w:rFonts w:cs="Arial"/>
              </w:rPr>
              <w:t xml:space="preserve"> </w:t>
            </w:r>
            <w:r>
              <w:rPr>
                <w:rFonts w:cs="Arial"/>
              </w:rPr>
              <w:t>NWLDC garage procedure</w:t>
            </w:r>
          </w:p>
          <w:p w:rsidR="0012047B" w:rsidRPr="002D0F05" w:rsidRDefault="0012047B" w:rsidP="00F64843">
            <w:pPr>
              <w:spacing w:after="240"/>
              <w:rPr>
                <w:rFonts w:cs="Arial"/>
              </w:rPr>
            </w:pPr>
            <w:r w:rsidRPr="002D0F05">
              <w:rPr>
                <w:rFonts w:cs="Arial"/>
              </w:rPr>
              <w:t xml:space="preserve">Appendix 2 </w:t>
            </w:r>
            <w:r>
              <w:rPr>
                <w:rFonts w:cs="Arial"/>
              </w:rPr>
              <w:t>-</w:t>
            </w:r>
            <w:r w:rsidRPr="002D0F05">
              <w:rPr>
                <w:rFonts w:cs="Arial"/>
              </w:rPr>
              <w:t xml:space="preserve"> </w:t>
            </w:r>
            <w:r>
              <w:rPr>
                <w:rFonts w:cs="Arial"/>
              </w:rPr>
              <w:t>NWLDC Asset Management Strategy</w:t>
            </w:r>
          </w:p>
          <w:p w:rsidR="0012047B" w:rsidRPr="002D0F05" w:rsidRDefault="0012047B" w:rsidP="00F64843">
            <w:pPr>
              <w:spacing w:after="240"/>
              <w:rPr>
                <w:rFonts w:cs="Arial"/>
                <w:sz w:val="28"/>
                <w:szCs w:val="28"/>
              </w:rPr>
            </w:pPr>
          </w:p>
        </w:tc>
        <w:tc>
          <w:tcPr>
            <w:tcW w:w="1134" w:type="dxa"/>
          </w:tcPr>
          <w:p w:rsidR="0012047B" w:rsidRPr="002D0F05" w:rsidRDefault="0012047B" w:rsidP="00F64843">
            <w:pPr>
              <w:rPr>
                <w:rFonts w:cs="Arial"/>
                <w:sz w:val="28"/>
                <w:szCs w:val="28"/>
              </w:rPr>
            </w:pPr>
          </w:p>
        </w:tc>
      </w:tr>
    </w:tbl>
    <w:p w:rsidR="0012047B" w:rsidRDefault="0012047B" w:rsidP="0012047B"/>
    <w:p w:rsidR="0012047B" w:rsidRDefault="0012047B" w:rsidP="0012047B"/>
    <w:p w:rsidR="0012047B" w:rsidRDefault="0012047B" w:rsidP="0012047B"/>
    <w:p w:rsidR="0012047B" w:rsidRDefault="0012047B" w:rsidP="0012047B"/>
    <w:p w:rsidR="0012047B" w:rsidRDefault="0012047B" w:rsidP="0012047B"/>
    <w:p w:rsidR="0012047B" w:rsidRDefault="0012047B" w:rsidP="0012047B"/>
    <w:p w:rsidR="0012047B" w:rsidRDefault="0012047B" w:rsidP="0012047B"/>
    <w:p w:rsidR="0012047B" w:rsidRDefault="0012047B" w:rsidP="0012047B"/>
    <w:p w:rsidR="0012047B" w:rsidRDefault="0012047B" w:rsidP="0012047B"/>
    <w:p w:rsidR="0012047B" w:rsidRDefault="0012047B" w:rsidP="0012047B"/>
    <w:p w:rsidR="0012047B" w:rsidRPr="002D0F05" w:rsidRDefault="0012047B" w:rsidP="0012047B"/>
    <w:p w:rsidR="0012047B" w:rsidRPr="002D0F05" w:rsidRDefault="0012047B" w:rsidP="0012047B">
      <w:pPr>
        <w:numPr>
          <w:ilvl w:val="0"/>
          <w:numId w:val="1"/>
        </w:numPr>
        <w:ind w:left="426" w:hanging="426"/>
        <w:rPr>
          <w:rFonts w:cs="Arial"/>
          <w:sz w:val="32"/>
          <w:szCs w:val="32"/>
        </w:rPr>
      </w:pPr>
      <w:r w:rsidRPr="002D0F05">
        <w:rPr>
          <w:rFonts w:cs="Arial"/>
          <w:b/>
          <w:bCs/>
          <w:sz w:val="32"/>
          <w:szCs w:val="32"/>
        </w:rPr>
        <w:t>Acknowledgements</w:t>
      </w:r>
    </w:p>
    <w:p w:rsidR="0012047B" w:rsidRPr="002D0F05" w:rsidRDefault="0012047B" w:rsidP="0012047B">
      <w:pPr>
        <w:rPr>
          <w:rFonts w:cs="Arial"/>
          <w:szCs w:val="22"/>
        </w:rPr>
      </w:pPr>
    </w:p>
    <w:p w:rsidR="0012047B" w:rsidRPr="002D0F05" w:rsidRDefault="0012047B" w:rsidP="0012047B">
      <w:pPr>
        <w:ind w:left="426"/>
        <w:rPr>
          <w:rFonts w:cs="Arial"/>
          <w:szCs w:val="22"/>
        </w:rPr>
      </w:pPr>
      <w:r w:rsidRPr="002D0F05">
        <w:rPr>
          <w:rFonts w:cs="Arial"/>
          <w:szCs w:val="22"/>
        </w:rPr>
        <w:t xml:space="preserve">The Tenant Scrutiny Panel (TSP) gratefully acknowledges the support, guidance and assistance provided by the members of the Housing Team, including Amanda Harper, Andy Barton and Sarah Richards, The Resident Involvement Team (Justin O’Brien and Peter Warren) and Cllr Roger Bayliss.  </w:t>
      </w:r>
    </w:p>
    <w:p w:rsidR="0012047B" w:rsidRPr="002D0F05" w:rsidRDefault="0012047B" w:rsidP="0012047B">
      <w:pPr>
        <w:ind w:left="426"/>
        <w:rPr>
          <w:rFonts w:cs="Arial"/>
          <w:szCs w:val="22"/>
        </w:rPr>
      </w:pPr>
    </w:p>
    <w:p w:rsidR="0012047B" w:rsidRPr="002D0F05" w:rsidRDefault="0012047B" w:rsidP="0012047B">
      <w:pPr>
        <w:numPr>
          <w:ilvl w:val="0"/>
          <w:numId w:val="1"/>
        </w:numPr>
        <w:ind w:left="426" w:hanging="426"/>
        <w:rPr>
          <w:rFonts w:cs="Arial"/>
          <w:sz w:val="32"/>
          <w:szCs w:val="32"/>
        </w:rPr>
      </w:pPr>
      <w:r w:rsidRPr="002D0F05">
        <w:rPr>
          <w:rFonts w:cs="Arial"/>
          <w:b/>
          <w:bCs/>
          <w:sz w:val="32"/>
          <w:szCs w:val="32"/>
        </w:rPr>
        <w:t>Executive Summary</w:t>
      </w:r>
    </w:p>
    <w:p w:rsidR="0012047B" w:rsidRPr="002D0F05" w:rsidRDefault="0012047B" w:rsidP="0012047B">
      <w:pPr>
        <w:tabs>
          <w:tab w:val="left" w:pos="1440"/>
        </w:tabs>
        <w:rPr>
          <w:rFonts w:cs="Arial"/>
          <w:szCs w:val="22"/>
        </w:rPr>
      </w:pPr>
    </w:p>
    <w:p w:rsidR="0012047B" w:rsidRPr="002D0F05" w:rsidRDefault="0012047B" w:rsidP="0012047B">
      <w:pPr>
        <w:tabs>
          <w:tab w:val="left" w:pos="1440"/>
        </w:tabs>
        <w:ind w:left="426"/>
        <w:rPr>
          <w:rFonts w:cs="Arial"/>
          <w:szCs w:val="22"/>
        </w:rPr>
      </w:pPr>
      <w:r w:rsidRPr="002D0F05">
        <w:rPr>
          <w:rFonts w:cs="Arial"/>
          <w:szCs w:val="22"/>
        </w:rPr>
        <w:t>The TSP made the decision to inspect the procedure for renting a NWLDC garage / garage site as it was raised as an issue with no criteria for letting garages, an example was the report of a Leicester resident applying for a council garage so he could reduce his parking costs (the cost of renting a NWLDC garage is much less than a week’s parking for work) and there being no guidance to inform if the application should be accepted.</w:t>
      </w:r>
    </w:p>
    <w:p w:rsidR="0012047B" w:rsidRPr="002D0F05" w:rsidRDefault="0012047B" w:rsidP="0012047B">
      <w:pPr>
        <w:tabs>
          <w:tab w:val="left" w:pos="1440"/>
        </w:tabs>
        <w:ind w:left="426"/>
        <w:rPr>
          <w:rFonts w:cs="Arial"/>
          <w:b/>
          <w:bCs/>
          <w:szCs w:val="22"/>
        </w:rPr>
      </w:pPr>
    </w:p>
    <w:p w:rsidR="0012047B" w:rsidRPr="002D0F05" w:rsidRDefault="0012047B" w:rsidP="0012047B">
      <w:pPr>
        <w:numPr>
          <w:ilvl w:val="0"/>
          <w:numId w:val="1"/>
        </w:numPr>
        <w:ind w:left="426" w:hanging="426"/>
        <w:rPr>
          <w:rFonts w:cs="Arial"/>
          <w:sz w:val="32"/>
          <w:szCs w:val="32"/>
        </w:rPr>
      </w:pPr>
      <w:r w:rsidRPr="002D0F05">
        <w:rPr>
          <w:rFonts w:cs="Arial"/>
          <w:b/>
          <w:bCs/>
          <w:sz w:val="32"/>
          <w:szCs w:val="32"/>
        </w:rPr>
        <w:t>Strengths</w:t>
      </w:r>
    </w:p>
    <w:p w:rsidR="0012047B" w:rsidRPr="002D0F05" w:rsidRDefault="0012047B" w:rsidP="0012047B">
      <w:pPr>
        <w:rPr>
          <w:rFonts w:cs="Arial"/>
          <w:b/>
          <w:szCs w:val="22"/>
        </w:rPr>
      </w:pPr>
    </w:p>
    <w:p w:rsidR="0012047B" w:rsidRPr="002D0F05" w:rsidRDefault="0012047B" w:rsidP="0012047B">
      <w:pPr>
        <w:numPr>
          <w:ilvl w:val="1"/>
          <w:numId w:val="1"/>
        </w:numPr>
        <w:ind w:left="426" w:hanging="426"/>
        <w:rPr>
          <w:rFonts w:cs="Arial"/>
          <w:szCs w:val="22"/>
        </w:rPr>
      </w:pPr>
      <w:r w:rsidRPr="002D0F05">
        <w:rPr>
          <w:rFonts w:cs="Arial"/>
          <w:szCs w:val="22"/>
        </w:rPr>
        <w:t xml:space="preserve">The TSP consists of a group of volunteers who are also tenants of NWLDC, each of whom has different skill sets and seeks to improve their skills and value to the group by identifying development needs and attending relevant training.  </w:t>
      </w:r>
    </w:p>
    <w:p w:rsidR="0012047B" w:rsidRPr="002D0F05" w:rsidRDefault="0012047B" w:rsidP="0012047B">
      <w:pPr>
        <w:numPr>
          <w:ilvl w:val="1"/>
          <w:numId w:val="1"/>
        </w:numPr>
        <w:ind w:left="426" w:hanging="426"/>
        <w:rPr>
          <w:rFonts w:cs="Arial"/>
          <w:szCs w:val="22"/>
        </w:rPr>
      </w:pPr>
      <w:r w:rsidRPr="002D0F05">
        <w:rPr>
          <w:rFonts w:cs="Arial"/>
          <w:szCs w:val="22"/>
        </w:rPr>
        <w:t>Each TSP member knows the importance of adopting a flexible attitude and displays a high level of commitment to their voluntary involvement in working with NWLDC to improve Housing services to tenants and streamline processes.</w:t>
      </w:r>
    </w:p>
    <w:p w:rsidR="0012047B" w:rsidRPr="002D0F05" w:rsidRDefault="0012047B" w:rsidP="0012047B">
      <w:pPr>
        <w:numPr>
          <w:ilvl w:val="1"/>
          <w:numId w:val="1"/>
        </w:numPr>
        <w:ind w:left="426" w:hanging="426"/>
        <w:rPr>
          <w:rFonts w:cs="Arial"/>
          <w:szCs w:val="22"/>
        </w:rPr>
      </w:pPr>
      <w:r w:rsidRPr="002D0F05">
        <w:rPr>
          <w:rFonts w:cs="Arial"/>
          <w:szCs w:val="22"/>
        </w:rPr>
        <w:t>The TSP mission is to be a “critical friend” to the Council, facilitating service improvements for Council tenants.</w:t>
      </w:r>
    </w:p>
    <w:p w:rsidR="0012047B" w:rsidRPr="002D0F05" w:rsidRDefault="0012047B" w:rsidP="0012047B">
      <w:pPr>
        <w:numPr>
          <w:ilvl w:val="1"/>
          <w:numId w:val="1"/>
        </w:numPr>
        <w:ind w:left="426" w:hanging="426"/>
        <w:rPr>
          <w:rFonts w:cs="Arial"/>
          <w:szCs w:val="22"/>
        </w:rPr>
      </w:pPr>
      <w:r w:rsidRPr="002D0F05">
        <w:rPr>
          <w:rFonts w:cs="Arial"/>
          <w:szCs w:val="22"/>
        </w:rPr>
        <w:t>The TSP uses differing methodologies to analyse data, collect evidence, report on outcomes and make recommendations to NWLDC to enable changes and improvements to be implemented.</w:t>
      </w:r>
    </w:p>
    <w:p w:rsidR="0012047B" w:rsidRPr="002D0F05" w:rsidRDefault="0012047B" w:rsidP="0012047B">
      <w:pPr>
        <w:ind w:left="567"/>
        <w:rPr>
          <w:rFonts w:cs="Arial"/>
          <w:szCs w:val="22"/>
        </w:rPr>
      </w:pPr>
    </w:p>
    <w:p w:rsidR="0012047B" w:rsidRPr="002D0F05" w:rsidRDefault="0012047B" w:rsidP="0012047B">
      <w:pPr>
        <w:numPr>
          <w:ilvl w:val="0"/>
          <w:numId w:val="1"/>
        </w:numPr>
        <w:ind w:left="426" w:hanging="426"/>
        <w:rPr>
          <w:rFonts w:cs="Arial"/>
          <w:sz w:val="32"/>
          <w:szCs w:val="32"/>
        </w:rPr>
      </w:pPr>
      <w:r w:rsidRPr="002D0F05">
        <w:rPr>
          <w:rFonts w:cs="Arial"/>
          <w:b/>
          <w:bCs/>
          <w:sz w:val="32"/>
          <w:szCs w:val="32"/>
        </w:rPr>
        <w:t>Vision and Strategy</w:t>
      </w:r>
    </w:p>
    <w:p w:rsidR="0012047B" w:rsidRPr="002D0F05" w:rsidRDefault="0012047B" w:rsidP="0012047B">
      <w:pPr>
        <w:rPr>
          <w:rFonts w:cs="Arial"/>
          <w:szCs w:val="22"/>
        </w:rPr>
      </w:pPr>
    </w:p>
    <w:p w:rsidR="0012047B" w:rsidRPr="002D0F05" w:rsidRDefault="0012047B" w:rsidP="0012047B">
      <w:pPr>
        <w:numPr>
          <w:ilvl w:val="0"/>
          <w:numId w:val="2"/>
        </w:numPr>
        <w:ind w:left="426" w:hanging="426"/>
        <w:rPr>
          <w:rFonts w:cs="Arial"/>
          <w:szCs w:val="22"/>
        </w:rPr>
      </w:pPr>
      <w:r>
        <w:rPr>
          <w:rFonts w:cs="Arial"/>
          <w:szCs w:val="22"/>
        </w:rPr>
        <w:t>The topic</w:t>
      </w:r>
      <w:r w:rsidRPr="002D0F05">
        <w:rPr>
          <w:rFonts w:cs="Arial"/>
          <w:szCs w:val="22"/>
        </w:rPr>
        <w:t xml:space="preserve"> of </w:t>
      </w:r>
      <w:r>
        <w:rPr>
          <w:rFonts w:cs="Arial"/>
          <w:szCs w:val="22"/>
        </w:rPr>
        <w:t xml:space="preserve">leasing </w:t>
      </w:r>
      <w:r w:rsidRPr="002D0F05">
        <w:rPr>
          <w:rFonts w:cs="Arial"/>
          <w:szCs w:val="22"/>
        </w:rPr>
        <w:t>NWLDC owned garages is a fairly uncomplicated one and the TSP were happy to have something they could tackle via on-line meetings during the period of Covid-19.</w:t>
      </w:r>
    </w:p>
    <w:p w:rsidR="0012047B" w:rsidRPr="002D0F05" w:rsidRDefault="0012047B" w:rsidP="0012047B">
      <w:pPr>
        <w:numPr>
          <w:ilvl w:val="0"/>
          <w:numId w:val="2"/>
        </w:numPr>
        <w:ind w:left="426" w:hanging="426"/>
        <w:rPr>
          <w:rFonts w:cs="Arial"/>
          <w:szCs w:val="22"/>
        </w:rPr>
      </w:pPr>
      <w:r w:rsidRPr="002D0F05">
        <w:rPr>
          <w:rFonts w:cs="Arial"/>
          <w:szCs w:val="22"/>
        </w:rPr>
        <w:t>The TSP discovered that there is currently no policy in respect of this topic and therefore no qualifying criteria that would exclude the type of application that had been received.</w:t>
      </w:r>
    </w:p>
    <w:p w:rsidR="0012047B" w:rsidRPr="002D0F05" w:rsidRDefault="0012047B" w:rsidP="0012047B">
      <w:pPr>
        <w:numPr>
          <w:ilvl w:val="0"/>
          <w:numId w:val="2"/>
        </w:numPr>
        <w:ind w:left="426" w:hanging="426"/>
        <w:rPr>
          <w:rFonts w:cs="Arial"/>
          <w:szCs w:val="22"/>
        </w:rPr>
      </w:pPr>
      <w:r w:rsidRPr="002D0F05">
        <w:rPr>
          <w:rFonts w:cs="Arial"/>
          <w:szCs w:val="22"/>
        </w:rPr>
        <w:t>In the view of the TSP the introduction of such a policy would make it clear to all whether or not they would be eligible to apply for a garage/garage site.</w:t>
      </w:r>
    </w:p>
    <w:p w:rsidR="0012047B" w:rsidRPr="002D0F05" w:rsidRDefault="0012047B" w:rsidP="0012047B">
      <w:pPr>
        <w:ind w:left="709"/>
        <w:rPr>
          <w:rFonts w:cs="Arial"/>
          <w:szCs w:val="22"/>
        </w:rPr>
      </w:pPr>
    </w:p>
    <w:p w:rsidR="0012047B" w:rsidRPr="002D0F05" w:rsidRDefault="0012047B" w:rsidP="0012047B">
      <w:pPr>
        <w:numPr>
          <w:ilvl w:val="0"/>
          <w:numId w:val="1"/>
        </w:numPr>
        <w:ind w:left="426" w:hanging="426"/>
        <w:rPr>
          <w:rFonts w:cs="Arial"/>
          <w:szCs w:val="22"/>
        </w:rPr>
      </w:pPr>
      <w:r>
        <w:rPr>
          <w:rFonts w:cs="Arial"/>
          <w:b/>
          <w:sz w:val="32"/>
          <w:szCs w:val="32"/>
        </w:rPr>
        <w:t>Report</w:t>
      </w:r>
    </w:p>
    <w:p w:rsidR="0012047B" w:rsidRPr="002D0F05" w:rsidRDefault="0012047B" w:rsidP="0012047B">
      <w:pPr>
        <w:ind w:left="426"/>
        <w:rPr>
          <w:rFonts w:cs="Arial"/>
          <w:szCs w:val="22"/>
        </w:rPr>
      </w:pPr>
    </w:p>
    <w:p w:rsidR="0012047B" w:rsidRPr="002D0F05" w:rsidRDefault="0012047B" w:rsidP="0012047B">
      <w:pPr>
        <w:ind w:left="426"/>
        <w:rPr>
          <w:rFonts w:cs="Arial"/>
          <w:szCs w:val="22"/>
        </w:rPr>
      </w:pPr>
      <w:r w:rsidRPr="002D0F05">
        <w:rPr>
          <w:rFonts w:cs="Arial"/>
          <w:szCs w:val="22"/>
        </w:rPr>
        <w:t>The TSP has reported on its findings as factually as possible and without any bias.  Our inspections have, on occasion, increased awareness of the complexity of the work done by NWLDC and other agencies.  However our findings and subsequent recommendations may lead us to be critical of certain parts of the process of reporting/investigating policies and procedures in place.</w:t>
      </w:r>
    </w:p>
    <w:p w:rsidR="0012047B" w:rsidRPr="002D0F05" w:rsidRDefault="0012047B" w:rsidP="0012047B">
      <w:pPr>
        <w:rPr>
          <w:rFonts w:cs="Arial"/>
          <w:szCs w:val="22"/>
        </w:rPr>
      </w:pPr>
    </w:p>
    <w:p w:rsidR="0012047B" w:rsidRPr="00DC745A" w:rsidRDefault="0012047B" w:rsidP="0012047B">
      <w:pPr>
        <w:numPr>
          <w:ilvl w:val="0"/>
          <w:numId w:val="1"/>
        </w:numPr>
        <w:ind w:left="426" w:hanging="426"/>
        <w:rPr>
          <w:rFonts w:cs="Arial"/>
          <w:b/>
          <w:sz w:val="32"/>
          <w:szCs w:val="32"/>
        </w:rPr>
      </w:pPr>
      <w:r w:rsidRPr="00DC745A">
        <w:rPr>
          <w:rFonts w:cs="Arial"/>
          <w:b/>
          <w:sz w:val="32"/>
          <w:szCs w:val="32"/>
        </w:rPr>
        <w:t>Methodology</w:t>
      </w:r>
    </w:p>
    <w:p w:rsidR="0012047B" w:rsidRPr="002D0F05" w:rsidRDefault="0012047B" w:rsidP="0012047B">
      <w:pPr>
        <w:rPr>
          <w:rFonts w:cs="Arial"/>
          <w:b/>
          <w:szCs w:val="22"/>
        </w:rPr>
      </w:pPr>
    </w:p>
    <w:p w:rsidR="0012047B" w:rsidRPr="002D0F05" w:rsidRDefault="0012047B" w:rsidP="0012047B">
      <w:pPr>
        <w:ind w:left="426" w:hanging="426"/>
        <w:rPr>
          <w:rFonts w:cs="Arial"/>
          <w:szCs w:val="22"/>
        </w:rPr>
      </w:pPr>
      <w:r>
        <w:rPr>
          <w:rFonts w:cs="Arial"/>
          <w:szCs w:val="22"/>
        </w:rPr>
        <w:t>6.1</w:t>
      </w:r>
      <w:r>
        <w:rPr>
          <w:rFonts w:cs="Arial"/>
          <w:szCs w:val="22"/>
        </w:rPr>
        <w:tab/>
      </w:r>
      <w:r w:rsidRPr="002D0F05">
        <w:rPr>
          <w:rFonts w:cs="Arial"/>
          <w:szCs w:val="22"/>
        </w:rPr>
        <w:t>Reviewed all relevant NWLDC documentation in respect of garage /garage site rentals</w:t>
      </w:r>
    </w:p>
    <w:p w:rsidR="0012047B" w:rsidRPr="002D0F05" w:rsidRDefault="0012047B" w:rsidP="0012047B">
      <w:pPr>
        <w:ind w:left="426" w:hanging="426"/>
        <w:rPr>
          <w:rFonts w:cs="Arial"/>
          <w:szCs w:val="22"/>
        </w:rPr>
      </w:pPr>
      <w:r>
        <w:rPr>
          <w:rFonts w:cs="Arial"/>
          <w:szCs w:val="22"/>
        </w:rPr>
        <w:t>6.2</w:t>
      </w:r>
      <w:r>
        <w:rPr>
          <w:rFonts w:cs="Arial"/>
          <w:szCs w:val="22"/>
        </w:rPr>
        <w:tab/>
      </w:r>
      <w:r w:rsidRPr="002D0F05">
        <w:rPr>
          <w:rFonts w:cs="Arial"/>
          <w:szCs w:val="22"/>
        </w:rPr>
        <w:t>Reviewed NWLDC Asset Management Strategy</w:t>
      </w:r>
    </w:p>
    <w:p w:rsidR="0012047B" w:rsidRPr="002D0F05" w:rsidRDefault="0012047B" w:rsidP="0012047B">
      <w:pPr>
        <w:rPr>
          <w:rFonts w:cs="Arial"/>
          <w:szCs w:val="22"/>
        </w:rPr>
      </w:pPr>
      <w:r>
        <w:rPr>
          <w:rFonts w:cs="Arial"/>
          <w:szCs w:val="22"/>
        </w:rPr>
        <w:t xml:space="preserve">6.3  </w:t>
      </w:r>
      <w:r w:rsidRPr="002D0F05">
        <w:rPr>
          <w:rFonts w:cs="Arial"/>
          <w:szCs w:val="22"/>
        </w:rPr>
        <w:t>Interviewed Sarah Richards to ascertain the problem and discuss the way forward.</w:t>
      </w:r>
    </w:p>
    <w:p w:rsidR="0012047B" w:rsidRPr="002D0F05" w:rsidRDefault="0012047B" w:rsidP="0012047B">
      <w:pPr>
        <w:rPr>
          <w:rFonts w:cs="Arial"/>
          <w:szCs w:val="22"/>
        </w:rPr>
      </w:pPr>
      <w:r>
        <w:rPr>
          <w:rFonts w:cs="Arial"/>
          <w:szCs w:val="22"/>
        </w:rPr>
        <w:t xml:space="preserve">6.4  </w:t>
      </w:r>
      <w:r w:rsidRPr="002D0F05">
        <w:rPr>
          <w:rFonts w:cs="Arial"/>
          <w:szCs w:val="22"/>
        </w:rPr>
        <w:t>Scheduled TSP working meetings as required to review new information and status of report.</w:t>
      </w:r>
    </w:p>
    <w:p w:rsidR="0012047B" w:rsidRDefault="0012047B" w:rsidP="0012047B">
      <w:pPr>
        <w:ind w:left="709"/>
        <w:rPr>
          <w:rFonts w:cs="Arial"/>
          <w:szCs w:val="22"/>
        </w:rPr>
      </w:pPr>
    </w:p>
    <w:p w:rsidR="0012047B" w:rsidRDefault="0012047B" w:rsidP="0012047B">
      <w:pPr>
        <w:ind w:left="709"/>
        <w:rPr>
          <w:rFonts w:cs="Arial"/>
          <w:szCs w:val="22"/>
        </w:rPr>
      </w:pPr>
    </w:p>
    <w:p w:rsidR="0012047B" w:rsidRDefault="0012047B" w:rsidP="0012047B">
      <w:pPr>
        <w:ind w:left="709"/>
        <w:rPr>
          <w:rFonts w:cs="Arial"/>
          <w:szCs w:val="22"/>
        </w:rPr>
      </w:pPr>
    </w:p>
    <w:p w:rsidR="0012047B" w:rsidRPr="00DC745A" w:rsidRDefault="0012047B" w:rsidP="0012047B">
      <w:pPr>
        <w:numPr>
          <w:ilvl w:val="0"/>
          <w:numId w:val="1"/>
        </w:numPr>
        <w:ind w:left="426" w:hanging="426"/>
        <w:rPr>
          <w:rFonts w:cs="Arial"/>
          <w:b/>
          <w:sz w:val="32"/>
          <w:szCs w:val="32"/>
        </w:rPr>
      </w:pPr>
      <w:r w:rsidRPr="00DC745A">
        <w:rPr>
          <w:rFonts w:cs="Arial"/>
          <w:b/>
          <w:sz w:val="32"/>
          <w:szCs w:val="32"/>
        </w:rPr>
        <w:t>Aim of the Exercise</w:t>
      </w:r>
    </w:p>
    <w:p w:rsidR="0012047B" w:rsidRPr="002D0F05" w:rsidRDefault="0012047B" w:rsidP="0012047B">
      <w:pPr>
        <w:rPr>
          <w:rFonts w:cs="Arial"/>
          <w:szCs w:val="22"/>
        </w:rPr>
      </w:pPr>
    </w:p>
    <w:p w:rsidR="0012047B" w:rsidRPr="007706A7" w:rsidRDefault="0012047B" w:rsidP="0012047B">
      <w:pPr>
        <w:ind w:left="426"/>
        <w:rPr>
          <w:rFonts w:cs="Arial"/>
          <w:szCs w:val="22"/>
        </w:rPr>
      </w:pPr>
      <w:r w:rsidRPr="007706A7">
        <w:rPr>
          <w:rFonts w:cs="Arial"/>
          <w:szCs w:val="22"/>
        </w:rPr>
        <w:t>To investigate garage leasing procedures and identify recommendations to improve how NWLDC deal with this aspect of their services to tenants.</w:t>
      </w:r>
    </w:p>
    <w:p w:rsidR="0012047B" w:rsidRDefault="0012047B" w:rsidP="0012047B">
      <w:pPr>
        <w:rPr>
          <w:rFonts w:cs="Arial"/>
        </w:rPr>
      </w:pPr>
    </w:p>
    <w:p w:rsidR="0012047B" w:rsidRPr="00DC745A" w:rsidRDefault="0012047B" w:rsidP="0012047B">
      <w:pPr>
        <w:numPr>
          <w:ilvl w:val="0"/>
          <w:numId w:val="1"/>
        </w:numPr>
        <w:ind w:left="426" w:hanging="426"/>
        <w:rPr>
          <w:rFonts w:cs="Arial"/>
          <w:b/>
          <w:sz w:val="32"/>
          <w:szCs w:val="32"/>
        </w:rPr>
      </w:pPr>
      <w:r w:rsidRPr="00DC745A">
        <w:rPr>
          <w:rFonts w:cs="Arial"/>
          <w:b/>
          <w:sz w:val="32"/>
          <w:szCs w:val="32"/>
        </w:rPr>
        <w:t>Findings</w:t>
      </w:r>
    </w:p>
    <w:p w:rsidR="0012047B" w:rsidRPr="007706A7" w:rsidRDefault="0012047B" w:rsidP="0012047B">
      <w:pPr>
        <w:rPr>
          <w:rFonts w:cs="Arial"/>
          <w:b/>
          <w:szCs w:val="22"/>
        </w:rPr>
      </w:pPr>
    </w:p>
    <w:p w:rsidR="0012047B" w:rsidRPr="007706A7" w:rsidRDefault="0012047B" w:rsidP="0012047B">
      <w:pPr>
        <w:numPr>
          <w:ilvl w:val="0"/>
          <w:numId w:val="3"/>
        </w:numPr>
        <w:rPr>
          <w:rFonts w:cs="Arial"/>
          <w:szCs w:val="22"/>
        </w:rPr>
      </w:pPr>
      <w:r w:rsidRPr="007706A7">
        <w:rPr>
          <w:rFonts w:cs="Arial"/>
          <w:szCs w:val="22"/>
        </w:rPr>
        <w:t xml:space="preserve">There is currently a procedure governing handling of applications to lease (on a lifetime basis) the garages or garage sites belonging to NWLDC.  </w:t>
      </w:r>
    </w:p>
    <w:p w:rsidR="0012047B" w:rsidRPr="007706A7" w:rsidRDefault="0012047B" w:rsidP="0012047B">
      <w:pPr>
        <w:numPr>
          <w:ilvl w:val="0"/>
          <w:numId w:val="3"/>
        </w:numPr>
        <w:rPr>
          <w:rFonts w:cs="Arial"/>
          <w:szCs w:val="22"/>
        </w:rPr>
      </w:pPr>
      <w:r w:rsidRPr="007706A7">
        <w:rPr>
          <w:rFonts w:cs="Arial"/>
          <w:szCs w:val="22"/>
        </w:rPr>
        <w:t>This document sets out the procedure of leasing a garage to anyone living in NWLDC area using current IT systems; however, installation of a new IT system is well under way and is expected to go live in 2021. Consequently, this document will be redundant.</w:t>
      </w:r>
    </w:p>
    <w:p w:rsidR="0012047B" w:rsidRDefault="0012047B" w:rsidP="0012047B">
      <w:pPr>
        <w:numPr>
          <w:ilvl w:val="0"/>
          <w:numId w:val="3"/>
        </w:numPr>
        <w:rPr>
          <w:rFonts w:cs="Arial"/>
          <w:szCs w:val="22"/>
        </w:rPr>
      </w:pPr>
      <w:r w:rsidRPr="007706A7">
        <w:rPr>
          <w:rFonts w:cs="Arial"/>
          <w:szCs w:val="22"/>
        </w:rPr>
        <w:t>There is no policy document for the allocation of garages and no direction as to what eligibility criteria needs to be met in order to initially ascertain and advise any interested party whether they are eligible to apply for a lease.</w:t>
      </w:r>
    </w:p>
    <w:p w:rsidR="0012047B" w:rsidRPr="007706A7" w:rsidRDefault="0012047B" w:rsidP="0012047B">
      <w:pPr>
        <w:numPr>
          <w:ilvl w:val="0"/>
          <w:numId w:val="3"/>
        </w:numPr>
        <w:rPr>
          <w:rFonts w:cs="Arial"/>
          <w:szCs w:val="22"/>
        </w:rPr>
      </w:pPr>
      <w:r>
        <w:rPr>
          <w:rFonts w:cs="Arial"/>
          <w:szCs w:val="22"/>
        </w:rPr>
        <w:t>The panel reviewed the Asset Management Strategy and note that is due for renewal. The strategy indicates that the Housing Service was going to decommission all garage sites by 2018 and this should happen in conjunction with a review of overall parking provision.</w:t>
      </w:r>
    </w:p>
    <w:p w:rsidR="0012047B" w:rsidRPr="007706A7" w:rsidRDefault="0012047B" w:rsidP="0012047B">
      <w:pPr>
        <w:numPr>
          <w:ilvl w:val="0"/>
          <w:numId w:val="3"/>
        </w:numPr>
        <w:rPr>
          <w:rFonts w:cs="Arial"/>
          <w:szCs w:val="22"/>
        </w:rPr>
      </w:pPr>
      <w:r w:rsidRPr="007706A7">
        <w:rPr>
          <w:rFonts w:cs="Arial"/>
          <w:szCs w:val="22"/>
        </w:rPr>
        <w:t xml:space="preserve">NWLDC currently has 382 garages managed through the Housing Management </w:t>
      </w:r>
      <w:r>
        <w:rPr>
          <w:rFonts w:cs="Arial"/>
          <w:szCs w:val="22"/>
        </w:rPr>
        <w:t xml:space="preserve">Team </w:t>
      </w:r>
      <w:r w:rsidRPr="007706A7">
        <w:rPr>
          <w:rFonts w:cs="Arial"/>
          <w:szCs w:val="22"/>
        </w:rPr>
        <w:t>by Housing Assistants.  These are distributed across NWLDC district with the majority being in Measham, Ibstock and Thringstone.</w:t>
      </w:r>
    </w:p>
    <w:p w:rsidR="0012047B" w:rsidRPr="007706A7" w:rsidRDefault="0012047B" w:rsidP="0012047B">
      <w:pPr>
        <w:numPr>
          <w:ilvl w:val="0"/>
          <w:numId w:val="3"/>
        </w:numPr>
        <w:rPr>
          <w:rFonts w:cs="Arial"/>
          <w:szCs w:val="22"/>
        </w:rPr>
      </w:pPr>
      <w:r w:rsidRPr="007706A7">
        <w:rPr>
          <w:rFonts w:cs="Arial"/>
          <w:szCs w:val="22"/>
        </w:rPr>
        <w:t>The garages are divided by geographical area into North and South patches in line with the areas allocated to Housing Officers.</w:t>
      </w:r>
    </w:p>
    <w:p w:rsidR="0012047B" w:rsidRPr="007706A7" w:rsidRDefault="0012047B" w:rsidP="0012047B">
      <w:pPr>
        <w:numPr>
          <w:ilvl w:val="0"/>
          <w:numId w:val="3"/>
        </w:numPr>
        <w:rPr>
          <w:rFonts w:cs="Arial"/>
          <w:szCs w:val="22"/>
        </w:rPr>
      </w:pPr>
      <w:r w:rsidRPr="007706A7">
        <w:rPr>
          <w:rFonts w:cs="Arial"/>
          <w:szCs w:val="22"/>
        </w:rPr>
        <w:t xml:space="preserve">Average rent roll for both patches is </w:t>
      </w:r>
      <w:r>
        <w:rPr>
          <w:rFonts w:cs="Arial"/>
          <w:szCs w:val="22"/>
        </w:rPr>
        <w:t>c</w:t>
      </w:r>
      <w:r w:rsidRPr="007706A7">
        <w:rPr>
          <w:rFonts w:cs="Arial"/>
          <w:szCs w:val="22"/>
        </w:rPr>
        <w:t>£75,559 per annum.</w:t>
      </w:r>
    </w:p>
    <w:p w:rsidR="0012047B" w:rsidRPr="002D0F05" w:rsidRDefault="0012047B" w:rsidP="0012047B">
      <w:pPr>
        <w:rPr>
          <w:rFonts w:cs="Arial"/>
        </w:rPr>
      </w:pPr>
    </w:p>
    <w:p w:rsidR="0012047B" w:rsidRPr="00DC745A" w:rsidRDefault="0012047B" w:rsidP="0012047B">
      <w:pPr>
        <w:numPr>
          <w:ilvl w:val="0"/>
          <w:numId w:val="1"/>
        </w:numPr>
        <w:rPr>
          <w:rFonts w:cs="Arial"/>
          <w:b/>
          <w:sz w:val="32"/>
          <w:szCs w:val="32"/>
        </w:rPr>
      </w:pPr>
      <w:r w:rsidRPr="00DC745A">
        <w:rPr>
          <w:rFonts w:cs="Arial"/>
          <w:b/>
          <w:sz w:val="32"/>
          <w:szCs w:val="32"/>
        </w:rPr>
        <w:t>Recommendations:</w:t>
      </w:r>
    </w:p>
    <w:p w:rsidR="0012047B" w:rsidRPr="007706A7" w:rsidRDefault="0012047B" w:rsidP="0012047B">
      <w:pPr>
        <w:tabs>
          <w:tab w:val="left" w:pos="1440"/>
        </w:tabs>
        <w:rPr>
          <w:rFonts w:cs="Arial"/>
          <w:szCs w:val="22"/>
        </w:rPr>
      </w:pPr>
    </w:p>
    <w:p w:rsidR="0012047B" w:rsidRPr="007706A7" w:rsidRDefault="0012047B" w:rsidP="0012047B">
      <w:pPr>
        <w:numPr>
          <w:ilvl w:val="0"/>
          <w:numId w:val="4"/>
        </w:numPr>
        <w:rPr>
          <w:rFonts w:cs="Arial"/>
          <w:szCs w:val="22"/>
        </w:rPr>
      </w:pPr>
      <w:r w:rsidRPr="007706A7">
        <w:rPr>
          <w:rFonts w:cs="Arial"/>
          <w:szCs w:val="22"/>
        </w:rPr>
        <w:t>The TSP strongly recommends that NWLDC seek to simplify the system and avoid confusion by drawing up a policy relating to the lifetime leasing of garages. This should include a qualifying criterion along the lines of NWLDC garages form part of its property portfolio and the leasing of these will require that applicants fulfil eligibility criteria which should be prioritised as follows:</w:t>
      </w:r>
    </w:p>
    <w:p w:rsidR="0012047B" w:rsidRPr="007706A7" w:rsidRDefault="0012047B" w:rsidP="0012047B">
      <w:pPr>
        <w:ind w:left="720"/>
        <w:rPr>
          <w:rFonts w:cs="Arial"/>
          <w:szCs w:val="22"/>
        </w:rPr>
      </w:pPr>
    </w:p>
    <w:p w:rsidR="0012047B" w:rsidRPr="007706A7" w:rsidRDefault="0012047B" w:rsidP="0012047B">
      <w:pPr>
        <w:numPr>
          <w:ilvl w:val="1"/>
          <w:numId w:val="4"/>
        </w:numPr>
        <w:rPr>
          <w:rFonts w:cs="Arial"/>
          <w:szCs w:val="22"/>
        </w:rPr>
      </w:pPr>
      <w:r>
        <w:rPr>
          <w:rFonts w:cs="Arial"/>
          <w:szCs w:val="22"/>
        </w:rPr>
        <w:t>R</w:t>
      </w:r>
      <w:r w:rsidRPr="007706A7">
        <w:rPr>
          <w:rFonts w:cs="Arial"/>
          <w:szCs w:val="22"/>
        </w:rPr>
        <w:t>esidents living within half a mile of the garage.</w:t>
      </w:r>
    </w:p>
    <w:p w:rsidR="0012047B" w:rsidRPr="007706A7" w:rsidRDefault="0012047B" w:rsidP="0012047B">
      <w:pPr>
        <w:numPr>
          <w:ilvl w:val="1"/>
          <w:numId w:val="4"/>
        </w:numPr>
        <w:rPr>
          <w:rFonts w:cs="Arial"/>
          <w:szCs w:val="22"/>
        </w:rPr>
      </w:pPr>
      <w:r w:rsidRPr="007706A7">
        <w:rPr>
          <w:rFonts w:cs="Arial"/>
          <w:szCs w:val="22"/>
        </w:rPr>
        <w:t>Residents living within a mile of the garage.</w:t>
      </w:r>
    </w:p>
    <w:p w:rsidR="0012047B" w:rsidRPr="007706A7" w:rsidRDefault="0012047B" w:rsidP="0012047B">
      <w:pPr>
        <w:numPr>
          <w:ilvl w:val="1"/>
          <w:numId w:val="4"/>
        </w:numPr>
        <w:rPr>
          <w:rFonts w:cs="Arial"/>
          <w:szCs w:val="22"/>
        </w:rPr>
      </w:pPr>
      <w:r w:rsidRPr="007706A7">
        <w:rPr>
          <w:rFonts w:cs="Arial"/>
          <w:szCs w:val="22"/>
        </w:rPr>
        <w:t>Residents living further than a mile from the garage.</w:t>
      </w:r>
    </w:p>
    <w:p w:rsidR="0012047B" w:rsidRPr="007706A7" w:rsidRDefault="0012047B" w:rsidP="0012047B">
      <w:pPr>
        <w:numPr>
          <w:ilvl w:val="1"/>
          <w:numId w:val="4"/>
        </w:numPr>
        <w:rPr>
          <w:rFonts w:cs="Arial"/>
          <w:szCs w:val="22"/>
        </w:rPr>
      </w:pPr>
      <w:r w:rsidRPr="007706A7">
        <w:rPr>
          <w:rFonts w:cs="Arial"/>
          <w:szCs w:val="22"/>
        </w:rPr>
        <w:t>Length of time on the waiting list should also be considered.</w:t>
      </w:r>
    </w:p>
    <w:p w:rsidR="0012047B" w:rsidRPr="007706A7" w:rsidRDefault="0012047B" w:rsidP="0012047B">
      <w:pPr>
        <w:numPr>
          <w:ilvl w:val="1"/>
          <w:numId w:val="4"/>
        </w:numPr>
        <w:rPr>
          <w:rFonts w:cs="Arial"/>
          <w:szCs w:val="22"/>
        </w:rPr>
      </w:pPr>
      <w:r w:rsidRPr="007706A7">
        <w:rPr>
          <w:rFonts w:cs="Arial"/>
          <w:szCs w:val="22"/>
        </w:rPr>
        <w:t>There is no right of assignment of garage leases.</w:t>
      </w:r>
    </w:p>
    <w:p w:rsidR="0012047B" w:rsidRDefault="0012047B" w:rsidP="0012047B">
      <w:pPr>
        <w:numPr>
          <w:ilvl w:val="1"/>
          <w:numId w:val="4"/>
        </w:numPr>
        <w:rPr>
          <w:rFonts w:cs="Arial"/>
          <w:szCs w:val="22"/>
        </w:rPr>
      </w:pPr>
      <w:r w:rsidRPr="007706A7">
        <w:rPr>
          <w:rFonts w:cs="Arial"/>
          <w:szCs w:val="22"/>
        </w:rPr>
        <w:t>NWLDC may implement a local leasing policy if it is deemed necessary.</w:t>
      </w:r>
    </w:p>
    <w:p w:rsidR="0012047B" w:rsidRDefault="0012047B" w:rsidP="0012047B">
      <w:pPr>
        <w:ind w:left="1440"/>
        <w:rPr>
          <w:rFonts w:cs="Arial"/>
          <w:szCs w:val="22"/>
        </w:rPr>
      </w:pPr>
    </w:p>
    <w:p w:rsidR="0012047B" w:rsidRPr="007706A7" w:rsidRDefault="0012047B" w:rsidP="0012047B">
      <w:pPr>
        <w:ind w:left="1440"/>
        <w:rPr>
          <w:rFonts w:cs="Arial"/>
          <w:szCs w:val="22"/>
        </w:rPr>
      </w:pPr>
      <w:bookmarkStart w:id="0" w:name="_GoBack"/>
      <w:bookmarkEnd w:id="0"/>
    </w:p>
    <w:p w:rsidR="0012047B" w:rsidRPr="007706A7" w:rsidRDefault="0012047B" w:rsidP="0012047B">
      <w:pPr>
        <w:rPr>
          <w:rFonts w:cs="Arial"/>
          <w:szCs w:val="22"/>
        </w:rPr>
      </w:pPr>
    </w:p>
    <w:p w:rsidR="0012047B" w:rsidRPr="0012047B" w:rsidRDefault="0012047B" w:rsidP="0012047B">
      <w:pPr>
        <w:numPr>
          <w:ilvl w:val="0"/>
          <w:numId w:val="4"/>
        </w:numPr>
        <w:rPr>
          <w:rFonts w:cs="Arial"/>
          <w:szCs w:val="22"/>
        </w:rPr>
      </w:pPr>
      <w:r w:rsidRPr="0012047B">
        <w:rPr>
          <w:rFonts w:cs="Arial"/>
          <w:szCs w:val="22"/>
        </w:rPr>
        <w:lastRenderedPageBreak/>
        <w:t>TSP recommends that:</w:t>
      </w:r>
    </w:p>
    <w:p w:rsidR="0012047B" w:rsidRPr="007706A7" w:rsidRDefault="0012047B" w:rsidP="0012047B">
      <w:pPr>
        <w:numPr>
          <w:ilvl w:val="0"/>
          <w:numId w:val="5"/>
        </w:numPr>
        <w:rPr>
          <w:rFonts w:cs="Arial"/>
          <w:szCs w:val="22"/>
        </w:rPr>
      </w:pPr>
      <w:r w:rsidRPr="007706A7">
        <w:rPr>
          <w:rFonts w:cs="Arial"/>
          <w:szCs w:val="22"/>
        </w:rPr>
        <w:t xml:space="preserve">All existing garage lifetime leases are respected and maintained until such time as the licensee no longer requires it.  </w:t>
      </w:r>
    </w:p>
    <w:p w:rsidR="0012047B" w:rsidRPr="007706A7" w:rsidRDefault="0012047B" w:rsidP="0012047B">
      <w:pPr>
        <w:numPr>
          <w:ilvl w:val="0"/>
          <w:numId w:val="5"/>
        </w:numPr>
        <w:rPr>
          <w:rFonts w:cs="Arial"/>
          <w:szCs w:val="22"/>
        </w:rPr>
      </w:pPr>
      <w:r w:rsidRPr="007706A7">
        <w:rPr>
          <w:rFonts w:cs="Arial"/>
          <w:szCs w:val="22"/>
        </w:rPr>
        <w:t>New applicants for the garage will be considered in accordance with the new criteria.</w:t>
      </w:r>
    </w:p>
    <w:p w:rsidR="0012047B" w:rsidRPr="007706A7" w:rsidRDefault="0012047B" w:rsidP="0012047B">
      <w:pPr>
        <w:numPr>
          <w:ilvl w:val="0"/>
          <w:numId w:val="5"/>
        </w:numPr>
        <w:rPr>
          <w:rFonts w:cs="Arial"/>
          <w:szCs w:val="22"/>
        </w:rPr>
      </w:pPr>
      <w:r w:rsidRPr="007706A7">
        <w:rPr>
          <w:rFonts w:cs="Arial"/>
          <w:szCs w:val="22"/>
        </w:rPr>
        <w:t xml:space="preserve">In the event that an existing licensee is found to be in contravention of the terms of their lease (i.e. that it </w:t>
      </w:r>
      <w:r>
        <w:rPr>
          <w:rFonts w:cs="Arial"/>
          <w:szCs w:val="22"/>
        </w:rPr>
        <w:t xml:space="preserve">is not </w:t>
      </w:r>
      <w:r w:rsidRPr="007706A7">
        <w:rPr>
          <w:rFonts w:cs="Arial"/>
          <w:szCs w:val="22"/>
        </w:rPr>
        <w:t>be</w:t>
      </w:r>
      <w:r>
        <w:rPr>
          <w:rFonts w:cs="Arial"/>
          <w:szCs w:val="22"/>
        </w:rPr>
        <w:t>ing</w:t>
      </w:r>
      <w:r w:rsidRPr="007706A7">
        <w:rPr>
          <w:rFonts w:cs="Arial"/>
          <w:szCs w:val="22"/>
        </w:rPr>
        <w:t xml:space="preserve"> used only for the storage of a vehicle) then they will receive Notice to Quit to terminate the lease</w:t>
      </w:r>
      <w:r>
        <w:rPr>
          <w:rFonts w:cs="Arial"/>
          <w:szCs w:val="22"/>
        </w:rPr>
        <w:t>. It should be made clear in the new policy that the licensee is responsible for ensuring their vehicle fits in any garage leased.</w:t>
      </w:r>
    </w:p>
    <w:p w:rsidR="0012047B" w:rsidRPr="007706A7" w:rsidRDefault="0012047B" w:rsidP="0012047B">
      <w:pPr>
        <w:ind w:left="1440"/>
        <w:rPr>
          <w:rFonts w:cs="Arial"/>
          <w:szCs w:val="22"/>
        </w:rPr>
      </w:pPr>
    </w:p>
    <w:p w:rsidR="0012047B" w:rsidRPr="007706A7" w:rsidRDefault="0012047B" w:rsidP="0012047B">
      <w:pPr>
        <w:numPr>
          <w:ilvl w:val="0"/>
          <w:numId w:val="4"/>
        </w:numPr>
        <w:rPr>
          <w:rFonts w:cs="Arial"/>
          <w:szCs w:val="22"/>
        </w:rPr>
      </w:pPr>
      <w:r w:rsidRPr="007706A7">
        <w:rPr>
          <w:rFonts w:cs="Arial"/>
          <w:szCs w:val="22"/>
        </w:rPr>
        <w:t>The TSP recommends that NWLDC include the criteria on its website and also publishes details of garages that become available online along with the new application form and this is linked to the new IT system.</w:t>
      </w:r>
    </w:p>
    <w:p w:rsidR="0012047B" w:rsidRPr="007706A7" w:rsidRDefault="0012047B" w:rsidP="0012047B">
      <w:pPr>
        <w:ind w:left="720"/>
        <w:rPr>
          <w:rFonts w:cs="Arial"/>
          <w:szCs w:val="22"/>
        </w:rPr>
      </w:pPr>
    </w:p>
    <w:p w:rsidR="0012047B" w:rsidRDefault="0012047B" w:rsidP="0012047B">
      <w:pPr>
        <w:numPr>
          <w:ilvl w:val="0"/>
          <w:numId w:val="4"/>
        </w:numPr>
        <w:rPr>
          <w:rFonts w:cs="Arial"/>
          <w:szCs w:val="22"/>
        </w:rPr>
      </w:pPr>
      <w:r w:rsidRPr="007706A7">
        <w:rPr>
          <w:rFonts w:cs="Arial"/>
          <w:szCs w:val="22"/>
        </w:rPr>
        <w:t>It is recommended that policy is reviewed after 12 months.</w:t>
      </w:r>
    </w:p>
    <w:p w:rsidR="0012047B" w:rsidRDefault="0012047B" w:rsidP="0012047B">
      <w:pPr>
        <w:pStyle w:val="ListParagraph"/>
        <w:rPr>
          <w:szCs w:val="22"/>
        </w:rPr>
      </w:pPr>
    </w:p>
    <w:p w:rsidR="0012047B" w:rsidRPr="007706A7" w:rsidRDefault="0012047B" w:rsidP="0012047B">
      <w:pPr>
        <w:numPr>
          <w:ilvl w:val="0"/>
          <w:numId w:val="4"/>
        </w:numPr>
        <w:rPr>
          <w:rFonts w:cs="Arial"/>
          <w:szCs w:val="22"/>
        </w:rPr>
      </w:pPr>
      <w:r>
        <w:rPr>
          <w:rFonts w:cs="Arial"/>
          <w:szCs w:val="22"/>
        </w:rPr>
        <w:t>The panel also recommend that the Asset Management Strategy is reviewed and updated and should be informed by the councils parking strategy and include future intentions for garages and garage sites.</w:t>
      </w:r>
    </w:p>
    <w:p w:rsidR="0012047B" w:rsidRPr="007706A7" w:rsidRDefault="0012047B" w:rsidP="0012047B">
      <w:pPr>
        <w:rPr>
          <w:rFonts w:cs="Arial"/>
          <w:szCs w:val="22"/>
        </w:rPr>
      </w:pPr>
    </w:p>
    <w:p w:rsidR="0012047B" w:rsidRPr="002D0F05" w:rsidRDefault="0012047B" w:rsidP="0012047B">
      <w:pPr>
        <w:rPr>
          <w:rFonts w:cs="Arial"/>
        </w:rPr>
      </w:pPr>
    </w:p>
    <w:p w:rsidR="0012047B" w:rsidRPr="002D0F05" w:rsidRDefault="0012047B" w:rsidP="0012047B">
      <w:pPr>
        <w:rPr>
          <w:rFonts w:cs="Arial"/>
        </w:rPr>
      </w:pPr>
    </w:p>
    <w:p w:rsidR="0012047B" w:rsidRPr="002D0F05" w:rsidRDefault="0012047B" w:rsidP="0012047B">
      <w:pPr>
        <w:ind w:left="360"/>
        <w:rPr>
          <w:rFonts w:cs="Arial"/>
          <w:b/>
          <w:szCs w:val="22"/>
        </w:rPr>
      </w:pPr>
      <w:r w:rsidRPr="002D0F05">
        <w:rPr>
          <w:rFonts w:cs="Arial"/>
          <w:szCs w:val="22"/>
        </w:rPr>
        <w:t>Janet Higgins, Chair, On behalf of the Tenant Scrutiny Panel</w:t>
      </w:r>
    </w:p>
    <w:p w:rsidR="0012047B" w:rsidRPr="002D0F05" w:rsidRDefault="0012047B" w:rsidP="0012047B">
      <w:pPr>
        <w:rPr>
          <w:rFonts w:cs="Arial"/>
          <w:sz w:val="18"/>
          <w:szCs w:val="18"/>
        </w:rPr>
      </w:pPr>
    </w:p>
    <w:p w:rsidR="0012047B" w:rsidRPr="0012047B" w:rsidRDefault="0012047B" w:rsidP="0012047B">
      <w:pPr>
        <w:ind w:left="360"/>
        <w:rPr>
          <w:rFonts w:cs="Arial"/>
          <w:b/>
          <w:szCs w:val="22"/>
        </w:rPr>
        <w:sectPr w:rsidR="0012047B" w:rsidRPr="0012047B" w:rsidSect="000A4B11">
          <w:headerReference w:type="default" r:id="rId6"/>
          <w:footerReference w:type="default" r:id="rId7"/>
          <w:pgSz w:w="11906" w:h="16838"/>
          <w:pgMar w:top="1440" w:right="1440" w:bottom="1440" w:left="1440" w:header="708" w:footer="708" w:gutter="0"/>
          <w:cols w:space="708"/>
          <w:docGrid w:linePitch="360"/>
        </w:sectPr>
      </w:pPr>
      <w:r w:rsidRPr="002D0F05">
        <w:rPr>
          <w:rFonts w:cs="Arial"/>
          <w:sz w:val="18"/>
          <w:szCs w:val="18"/>
        </w:rPr>
        <w:t>NWLDC/TSP/2021 Reports: Garage / Garage Site Leasing</w:t>
      </w:r>
    </w:p>
    <w:p w:rsidR="000362D2" w:rsidRDefault="000362D2"/>
    <w:sectPr w:rsidR="000362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89" w:rsidRDefault="0012047B">
    <w:pPr>
      <w:pStyle w:val="Footer"/>
      <w:jc w:val="right"/>
    </w:pPr>
    <w:r>
      <w:fldChar w:fldCharType="begin"/>
    </w:r>
    <w:r>
      <w:instrText xml:space="preserve"> PAGE   \* MERGEFORMAT </w:instrText>
    </w:r>
    <w:r>
      <w:fldChar w:fldCharType="separate"/>
    </w:r>
    <w:r>
      <w:rPr>
        <w:noProof/>
      </w:rPr>
      <w:t>5</w:t>
    </w:r>
    <w:r>
      <w:rPr>
        <w:noProof/>
      </w:rPr>
      <w:fldChar w:fldCharType="end"/>
    </w:r>
  </w:p>
  <w:p w:rsidR="00E97A89" w:rsidRDefault="0012047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89" w:rsidRPr="00875FD7" w:rsidRDefault="0012047B" w:rsidP="000A4B11">
    <w:pPr>
      <w:pStyle w:val="Header"/>
      <w:tabs>
        <w:tab w:val="right" w:pos="9498"/>
      </w:tabs>
      <w:ind w:right="-472"/>
      <w:jc w:val="cent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989"/>
    <w:multiLevelType w:val="hybridMultilevel"/>
    <w:tmpl w:val="990A7BDA"/>
    <w:lvl w:ilvl="0" w:tplc="0809000F">
      <w:start w:val="1"/>
      <w:numFmt w:val="decimal"/>
      <w:lvlText w:val="%1."/>
      <w:lvlJc w:val="left"/>
      <w:pPr>
        <w:ind w:left="677" w:hanging="360"/>
      </w:pPr>
      <w:rPr>
        <w:rFonts w:hint="default"/>
        <w:sz w:val="28"/>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C0C2B81"/>
    <w:multiLevelType w:val="hybridMultilevel"/>
    <w:tmpl w:val="B59C9C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D2240D"/>
    <w:multiLevelType w:val="hybridMultilevel"/>
    <w:tmpl w:val="614C0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817C19"/>
    <w:multiLevelType w:val="multilevel"/>
    <w:tmpl w:val="0809001F"/>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88B37EF"/>
    <w:multiLevelType w:val="hybridMultilevel"/>
    <w:tmpl w:val="D9C8820E"/>
    <w:lvl w:ilvl="0" w:tplc="0EF2D0B8">
      <w:start w:val="1"/>
      <w:numFmt w:val="decimal"/>
      <w:lvlText w:val="4.%1"/>
      <w:lvlJc w:val="left"/>
      <w:pPr>
        <w:ind w:left="6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7F2E3C"/>
    <w:multiLevelType w:val="hybridMultilevel"/>
    <w:tmpl w:val="C38E9DA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7B"/>
    <w:rsid w:val="000362D2"/>
    <w:rsid w:val="00120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BCB2"/>
  <w15:chartTrackingRefBased/>
  <w15:docId w15:val="{35EB1BF5-A5AF-444B-9BC2-E24FF4D9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47B"/>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047B"/>
    <w:pPr>
      <w:tabs>
        <w:tab w:val="center" w:pos="4153"/>
        <w:tab w:val="right" w:pos="8306"/>
      </w:tabs>
    </w:pPr>
    <w:rPr>
      <w:sz w:val="24"/>
      <w:szCs w:val="24"/>
      <w:lang w:eastAsia="en-GB"/>
    </w:rPr>
  </w:style>
  <w:style w:type="character" w:customStyle="1" w:styleId="FooterChar">
    <w:name w:val="Footer Char"/>
    <w:basedOn w:val="DefaultParagraphFont"/>
    <w:link w:val="Footer"/>
    <w:uiPriority w:val="99"/>
    <w:rsid w:val="0012047B"/>
    <w:rPr>
      <w:rFonts w:ascii="Arial" w:eastAsia="Times New Roman" w:hAnsi="Arial" w:cs="Times New Roman"/>
      <w:sz w:val="24"/>
      <w:szCs w:val="24"/>
      <w:lang w:eastAsia="en-GB"/>
    </w:rPr>
  </w:style>
  <w:style w:type="paragraph" w:styleId="Header">
    <w:name w:val="header"/>
    <w:basedOn w:val="Normal"/>
    <w:link w:val="HeaderChar"/>
    <w:rsid w:val="0012047B"/>
    <w:pPr>
      <w:tabs>
        <w:tab w:val="center" w:pos="4513"/>
        <w:tab w:val="right" w:pos="9026"/>
      </w:tabs>
    </w:pPr>
  </w:style>
  <w:style w:type="character" w:customStyle="1" w:styleId="HeaderChar">
    <w:name w:val="Header Char"/>
    <w:basedOn w:val="DefaultParagraphFont"/>
    <w:link w:val="Header"/>
    <w:rsid w:val="0012047B"/>
    <w:rPr>
      <w:rFonts w:ascii="Arial" w:eastAsia="Times New Roman" w:hAnsi="Arial" w:cs="Times New Roman"/>
      <w:szCs w:val="20"/>
    </w:rPr>
  </w:style>
  <w:style w:type="paragraph" w:styleId="ListParagraph">
    <w:name w:val="List Paragraph"/>
    <w:basedOn w:val="Normal"/>
    <w:uiPriority w:val="34"/>
    <w:qFormat/>
    <w:rsid w:val="0012047B"/>
    <w:pPr>
      <w:ind w:left="720"/>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OBRIEN</dc:creator>
  <cp:keywords/>
  <dc:description/>
  <cp:lastModifiedBy>JUSTIN OBRIEN</cp:lastModifiedBy>
  <cp:revision>1</cp:revision>
  <dcterms:created xsi:type="dcterms:W3CDTF">2021-08-06T07:13:00Z</dcterms:created>
  <dcterms:modified xsi:type="dcterms:W3CDTF">2021-08-06T07:15:00Z</dcterms:modified>
</cp:coreProperties>
</file>